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9AD28" w14:textId="5977545E" w:rsidR="000F2F7D" w:rsidRDefault="000F2F7D" w:rsidP="00AB6289">
      <w:pPr>
        <w:jc w:val="both"/>
        <w:rPr>
          <w:rFonts w:ascii="GRAPHIK-LIGHT" w:hAnsi="GRAPHIK-LIGHT"/>
        </w:rPr>
      </w:pPr>
      <w:r>
        <w:rPr>
          <w:rFonts w:ascii="GRAPHIK-LIGHT" w:hAnsi="GRAPHIK-LIGHT"/>
        </w:rPr>
        <w:t xml:space="preserve">Il corso di Management &amp; Governance delle Imprese Internazionali </w:t>
      </w:r>
      <w:r w:rsidR="009C7FC9" w:rsidRPr="009C7FC9">
        <w:rPr>
          <w:rFonts w:ascii="GRAPHIK-LIGHT" w:hAnsi="GRAPHIK-LIGHT"/>
        </w:rPr>
        <w:t xml:space="preserve">ha l’obiettivo formativo di sviluppare la conoscenza e la competenza degli strumenti che permettono allo studente la piena comprensione del contesto e dei fattori competitivi legati alle prospettive di analisi del processo di espansione estera dell’impresa e degli attori che ne influenzano le possibili traiettorie evolutive con focalizzazione sulla gestione delle funzioni aziendali in prospettiva internazionale. Il corso contribuisce a fornire una solida ed approfondita conoscenza nell’ambito delle scienze economico-aziendali, allo scopo di consentire allo studente una piena comprensione del fenomeno impresa negli aspetti inerenti </w:t>
      </w:r>
      <w:r>
        <w:rPr>
          <w:rFonts w:ascii="GRAPHIK-LIGHT" w:hAnsi="GRAPHIK-LIGHT"/>
        </w:rPr>
        <w:t>al</w:t>
      </w:r>
      <w:r w:rsidR="009C7FC9" w:rsidRPr="009C7FC9">
        <w:rPr>
          <w:rFonts w:ascii="GRAPHIK-LIGHT" w:hAnsi="GRAPHIK-LIGHT"/>
        </w:rPr>
        <w:t>le problematiche manageriali emergenti correlate alla competizione nello scenario internazionale.</w:t>
      </w:r>
      <w:r w:rsidR="00AB6289">
        <w:rPr>
          <w:rFonts w:ascii="GRAPHIK-LIGHT" w:hAnsi="GRAPHIK-LIGHT"/>
        </w:rPr>
        <w:t xml:space="preserve"> </w:t>
      </w:r>
    </w:p>
    <w:p w14:paraId="5A08F7BF" w14:textId="77777777" w:rsidR="000F2F7D" w:rsidRDefault="000F2F7D" w:rsidP="00AB6289">
      <w:pPr>
        <w:jc w:val="both"/>
        <w:rPr>
          <w:rFonts w:ascii="GRAPHIK-LIGHT" w:hAnsi="GRAPHIK-LIGHT"/>
        </w:rPr>
      </w:pPr>
    </w:p>
    <w:p w14:paraId="019B55FB" w14:textId="77777777" w:rsidR="000F2F7D" w:rsidRDefault="000F2F7D" w:rsidP="000F2F7D">
      <w:pPr>
        <w:jc w:val="both"/>
        <w:rPr>
          <w:rFonts w:ascii="GRAPHIK-LIGHT" w:hAnsi="GRAPHIK-LIGHT"/>
        </w:rPr>
      </w:pPr>
      <w:r>
        <w:rPr>
          <w:rFonts w:ascii="GRAPHIK-LIGHT" w:hAnsi="GRAPHIK-LIGHT"/>
        </w:rPr>
        <w:t xml:space="preserve">In particolare, la didattica in essere ha l’obiettivo di: </w:t>
      </w:r>
    </w:p>
    <w:p w14:paraId="2AD2534B" w14:textId="68ED8B4C" w:rsidR="000F2F7D" w:rsidRDefault="009C7FC9" w:rsidP="000F2F7D">
      <w:pPr>
        <w:pStyle w:val="Paragrafoelenco"/>
        <w:numPr>
          <w:ilvl w:val="0"/>
          <w:numId w:val="4"/>
        </w:numPr>
        <w:jc w:val="both"/>
        <w:rPr>
          <w:rFonts w:ascii="GRAPHIK-LIGHT" w:hAnsi="GRAPHIK-LIGHT"/>
        </w:rPr>
      </w:pPr>
      <w:r w:rsidRPr="000F2F7D">
        <w:rPr>
          <w:rFonts w:ascii="GRAPHIK-LIGHT" w:hAnsi="GRAPHIK-LIGHT"/>
        </w:rPr>
        <w:t>analizzare e comprendere le complessità ed il grado di dinamismo che caratterizza i</w:t>
      </w:r>
      <w:r w:rsidR="006F6FC6">
        <w:rPr>
          <w:rFonts w:ascii="GRAPHIK-LIGHT" w:hAnsi="GRAPHIK-LIGHT"/>
        </w:rPr>
        <w:t>l contesto rilevante</w:t>
      </w:r>
      <w:r w:rsidRPr="000F2F7D">
        <w:rPr>
          <w:rFonts w:ascii="GRAPHIK-LIGHT" w:hAnsi="GRAPHIK-LIGHT"/>
        </w:rPr>
        <w:t xml:space="preserve"> a livello internazionale; </w:t>
      </w:r>
    </w:p>
    <w:p w14:paraId="74C778B1" w14:textId="77777777" w:rsidR="000F2F7D" w:rsidRDefault="009C7FC9" w:rsidP="000F2F7D">
      <w:pPr>
        <w:pStyle w:val="Paragrafoelenco"/>
        <w:numPr>
          <w:ilvl w:val="0"/>
          <w:numId w:val="4"/>
        </w:numPr>
        <w:jc w:val="both"/>
        <w:rPr>
          <w:rFonts w:ascii="GRAPHIK-LIGHT" w:hAnsi="GRAPHIK-LIGHT"/>
        </w:rPr>
      </w:pPr>
      <w:r w:rsidRPr="000F2F7D">
        <w:rPr>
          <w:rFonts w:ascii="GRAPHIK-LIGHT" w:hAnsi="GRAPHIK-LIGHT"/>
        </w:rPr>
        <w:t>analizzare i settori ed i business in cui operano le imprese internazionali in relazione alle evoluzioni competitive ed ai cambiamenti strategici che ne conseguono;</w:t>
      </w:r>
    </w:p>
    <w:p w14:paraId="508FA3E3" w14:textId="77777777" w:rsidR="000F2F7D" w:rsidRDefault="009C7FC9" w:rsidP="000F2F7D">
      <w:pPr>
        <w:pStyle w:val="Paragrafoelenco"/>
        <w:numPr>
          <w:ilvl w:val="0"/>
          <w:numId w:val="4"/>
        </w:numPr>
        <w:jc w:val="both"/>
        <w:rPr>
          <w:rFonts w:ascii="GRAPHIK-LIGHT" w:hAnsi="GRAPHIK-LIGHT"/>
        </w:rPr>
      </w:pPr>
      <w:r w:rsidRPr="000F2F7D">
        <w:rPr>
          <w:rFonts w:ascii="GRAPHIK-LIGHT" w:hAnsi="GRAPHIK-LIGHT"/>
        </w:rPr>
        <w:t>riconoscere ed illustrare i legami tra i sistemi di corporate governance e le strategie di internazionalizzazione;</w:t>
      </w:r>
      <w:r w:rsidR="00AB6289" w:rsidRPr="000F2F7D">
        <w:rPr>
          <w:rFonts w:ascii="GRAPHIK-LIGHT" w:hAnsi="GRAPHIK-LIGHT"/>
        </w:rPr>
        <w:t xml:space="preserve"> </w:t>
      </w:r>
    </w:p>
    <w:p w14:paraId="5C19A183" w14:textId="77777777" w:rsidR="000F2F7D" w:rsidRDefault="009C7FC9" w:rsidP="000F2F7D">
      <w:pPr>
        <w:pStyle w:val="Paragrafoelenco"/>
        <w:numPr>
          <w:ilvl w:val="0"/>
          <w:numId w:val="4"/>
        </w:numPr>
        <w:jc w:val="both"/>
        <w:rPr>
          <w:rFonts w:ascii="GRAPHIK-LIGHT" w:hAnsi="GRAPHIK-LIGHT"/>
        </w:rPr>
      </w:pPr>
      <w:r w:rsidRPr="000F2F7D">
        <w:rPr>
          <w:rFonts w:ascii="GRAPHIK-LIGHT" w:hAnsi="GRAPHIK-LIGHT"/>
        </w:rPr>
        <w:t>identificare le nuove tendenze nella gestione strategica di un’impresa internazionale orientate alla generazione di valore economico, sociale ed ambientale;</w:t>
      </w:r>
      <w:r w:rsidR="00AB6289" w:rsidRPr="000F2F7D">
        <w:rPr>
          <w:rFonts w:ascii="GRAPHIK-LIGHT" w:hAnsi="GRAPHIK-LIGHT"/>
        </w:rPr>
        <w:t xml:space="preserve"> </w:t>
      </w:r>
    </w:p>
    <w:p w14:paraId="241CBAA4" w14:textId="77777777" w:rsidR="000F2F7D" w:rsidRDefault="009C7FC9" w:rsidP="000F2F7D">
      <w:pPr>
        <w:pStyle w:val="Paragrafoelenco"/>
        <w:numPr>
          <w:ilvl w:val="0"/>
          <w:numId w:val="4"/>
        </w:numPr>
        <w:jc w:val="both"/>
        <w:rPr>
          <w:rFonts w:ascii="GRAPHIK-LIGHT" w:hAnsi="GRAPHIK-LIGHT"/>
        </w:rPr>
      </w:pPr>
      <w:r w:rsidRPr="000F2F7D">
        <w:rPr>
          <w:rFonts w:ascii="GRAPHIK-LIGHT" w:hAnsi="GRAPHIK-LIGHT"/>
        </w:rPr>
        <w:t>mostrare le relazioni tra gli orientamenti strategici e la struttura organizzativa delle imprese internazionali;</w:t>
      </w:r>
      <w:r w:rsidR="00AB6289" w:rsidRPr="000F2F7D">
        <w:rPr>
          <w:rFonts w:ascii="GRAPHIK-LIGHT" w:hAnsi="GRAPHIK-LIGHT"/>
        </w:rPr>
        <w:t xml:space="preserve"> </w:t>
      </w:r>
    </w:p>
    <w:p w14:paraId="203341EB" w14:textId="5E55FECC" w:rsidR="00DB2189" w:rsidRPr="000F2F7D" w:rsidRDefault="009C7FC9" w:rsidP="000F2F7D">
      <w:pPr>
        <w:pStyle w:val="Paragrafoelenco"/>
        <w:numPr>
          <w:ilvl w:val="0"/>
          <w:numId w:val="4"/>
        </w:numPr>
        <w:jc w:val="both"/>
        <w:rPr>
          <w:rFonts w:ascii="GRAPHIK-LIGHT" w:hAnsi="GRAPHIK-LIGHT"/>
        </w:rPr>
      </w:pPr>
      <w:r w:rsidRPr="000F2F7D">
        <w:rPr>
          <w:rFonts w:ascii="GRAPHIK-LIGHT" w:hAnsi="GRAPHIK-LIGHT"/>
        </w:rPr>
        <w:t>riconoscere e valutare differenti alternative strategiche di un’impresa internazionale attraverso la scelta coerente di strumenti di analisi strategica a supporto delle decisioni.</w:t>
      </w:r>
    </w:p>
    <w:p w14:paraId="0D4943EB" w14:textId="4EBF33D6" w:rsidR="000F2F7D" w:rsidRDefault="000F2F7D" w:rsidP="006173E1">
      <w:pPr>
        <w:jc w:val="both"/>
        <w:rPr>
          <w:rFonts w:ascii="GRAPHIK-LIGHT" w:hAnsi="GRAPHIK-LIGHT"/>
        </w:rPr>
      </w:pPr>
    </w:p>
    <w:p w14:paraId="18346BB1" w14:textId="2EB3AE7B" w:rsidR="000F2F7D" w:rsidRDefault="000F2F7D" w:rsidP="006173E1">
      <w:pPr>
        <w:jc w:val="both"/>
        <w:rPr>
          <w:rFonts w:ascii="GRAPHIK-LIGHT" w:hAnsi="GRAPHIK-LIGHT"/>
        </w:rPr>
      </w:pPr>
      <w:r>
        <w:rPr>
          <w:rFonts w:ascii="GRAPHIK-LIGHT" w:hAnsi="GRAPHIK-LIGHT"/>
        </w:rPr>
        <w:t xml:space="preserve">Programma svolto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0F2F7D" w14:paraId="71376C37" w14:textId="77777777" w:rsidTr="00B55434">
        <w:tc>
          <w:tcPr>
            <w:tcW w:w="2547" w:type="dxa"/>
          </w:tcPr>
          <w:p w14:paraId="39D8247B" w14:textId="3565EAA4" w:rsidR="000F2F7D" w:rsidRPr="006710F4" w:rsidRDefault="000F2F7D" w:rsidP="00D57AC8">
            <w:pPr>
              <w:jc w:val="center"/>
              <w:rPr>
                <w:rFonts w:ascii="GRAPHIK-LIGHT" w:hAnsi="GRAPHIK-LIGHT"/>
                <w:b/>
                <w:bCs/>
              </w:rPr>
            </w:pPr>
            <w:r w:rsidRPr="006710F4">
              <w:rPr>
                <w:rFonts w:ascii="GRAPHIK-LIGHT" w:hAnsi="GRAPHIK-LIGHT"/>
                <w:b/>
                <w:bCs/>
              </w:rPr>
              <w:t>Data</w:t>
            </w:r>
          </w:p>
        </w:tc>
        <w:tc>
          <w:tcPr>
            <w:tcW w:w="7081" w:type="dxa"/>
          </w:tcPr>
          <w:p w14:paraId="33FC4D8A" w14:textId="77777777" w:rsidR="000F2F7D" w:rsidRPr="006710F4" w:rsidRDefault="000F2F7D" w:rsidP="00B05EEE">
            <w:pPr>
              <w:jc w:val="both"/>
              <w:rPr>
                <w:rFonts w:ascii="GRAPHIK-LIGHT" w:hAnsi="GRAPHIK-LIGHT"/>
                <w:b/>
                <w:bCs/>
              </w:rPr>
            </w:pPr>
            <w:r w:rsidRPr="006710F4">
              <w:rPr>
                <w:rFonts w:ascii="GRAPHIK-LIGHT" w:hAnsi="GRAPHIK-LIGHT"/>
                <w:b/>
                <w:bCs/>
              </w:rPr>
              <w:t xml:space="preserve">Programma </w:t>
            </w:r>
          </w:p>
        </w:tc>
      </w:tr>
      <w:tr w:rsidR="000F2F7D" w14:paraId="50B0603E" w14:textId="77777777" w:rsidTr="00B55434">
        <w:tc>
          <w:tcPr>
            <w:tcW w:w="2547" w:type="dxa"/>
          </w:tcPr>
          <w:p w14:paraId="763F65F3" w14:textId="77777777" w:rsidR="000F2F7D" w:rsidRDefault="000F2F7D" w:rsidP="00D57AC8">
            <w:pPr>
              <w:jc w:val="center"/>
              <w:rPr>
                <w:rFonts w:ascii="GRAPHIK-LIGHT" w:hAnsi="GRAPHIK-LIGHT"/>
              </w:rPr>
            </w:pPr>
            <w:r>
              <w:rPr>
                <w:rFonts w:ascii="GRAPHIK-LIGHT" w:hAnsi="GRAPHIK-LIGHT"/>
              </w:rPr>
              <w:t>04 ottobre 2022</w:t>
            </w:r>
          </w:p>
        </w:tc>
        <w:tc>
          <w:tcPr>
            <w:tcW w:w="7081" w:type="dxa"/>
          </w:tcPr>
          <w:p w14:paraId="793711BC" w14:textId="77777777" w:rsidR="000F2F7D" w:rsidRDefault="000F2F7D" w:rsidP="00B05EEE">
            <w:pPr>
              <w:jc w:val="both"/>
              <w:rPr>
                <w:rFonts w:ascii="GRAPHIK-LIGHT" w:hAnsi="GRAPHIK-LIGHT"/>
              </w:rPr>
            </w:pPr>
            <w:r>
              <w:rPr>
                <w:rFonts w:ascii="GRAPHIK-LIGHT" w:hAnsi="GRAPHIK-LIGHT"/>
              </w:rPr>
              <w:t>Presentazione del corso e programma didattico (Syllabus).</w:t>
            </w:r>
          </w:p>
        </w:tc>
      </w:tr>
      <w:tr w:rsidR="000F2F7D" w14:paraId="0B25973E" w14:textId="77777777" w:rsidTr="00B55434">
        <w:tc>
          <w:tcPr>
            <w:tcW w:w="2547" w:type="dxa"/>
          </w:tcPr>
          <w:p w14:paraId="1969099C" w14:textId="77777777" w:rsidR="000F2F7D" w:rsidRDefault="000F2F7D" w:rsidP="00D57AC8">
            <w:pPr>
              <w:jc w:val="center"/>
              <w:rPr>
                <w:rFonts w:ascii="GRAPHIK-LIGHT" w:hAnsi="GRAPHIK-LIGHT"/>
              </w:rPr>
            </w:pPr>
            <w:r>
              <w:rPr>
                <w:rFonts w:ascii="GRAPHIK-LIGHT" w:hAnsi="GRAPHIK-LIGHT"/>
              </w:rPr>
              <w:t>05 ottobre 2022</w:t>
            </w:r>
          </w:p>
        </w:tc>
        <w:tc>
          <w:tcPr>
            <w:tcW w:w="7081" w:type="dxa"/>
          </w:tcPr>
          <w:p w14:paraId="6DA26C67" w14:textId="1023FE39" w:rsidR="000F2F7D" w:rsidRDefault="000F2F7D" w:rsidP="00B05EEE">
            <w:pPr>
              <w:jc w:val="both"/>
              <w:rPr>
                <w:rFonts w:ascii="GRAPHIK-LIGHT" w:hAnsi="GRAPHIK-LIGHT"/>
              </w:rPr>
            </w:pPr>
            <w:r>
              <w:rPr>
                <w:rFonts w:ascii="GRAPHIK-LIGHT" w:hAnsi="GRAPHIK-LIGHT"/>
              </w:rPr>
              <w:t xml:space="preserve">Tendenze attuali nella gestione strategica. </w:t>
            </w:r>
          </w:p>
        </w:tc>
      </w:tr>
      <w:tr w:rsidR="000F2F7D" w14:paraId="513C0071" w14:textId="77777777" w:rsidTr="00B55434">
        <w:tc>
          <w:tcPr>
            <w:tcW w:w="2547" w:type="dxa"/>
            <w:vAlign w:val="center"/>
          </w:tcPr>
          <w:p w14:paraId="3C27E7B0" w14:textId="77777777" w:rsidR="000F2F7D" w:rsidRDefault="000F2F7D" w:rsidP="00D57AC8">
            <w:pPr>
              <w:jc w:val="center"/>
              <w:rPr>
                <w:rFonts w:ascii="GRAPHIK-LIGHT" w:hAnsi="GRAPHIK-LIGHT"/>
              </w:rPr>
            </w:pPr>
            <w:r>
              <w:rPr>
                <w:rFonts w:ascii="GRAPHIK-LIGHT" w:hAnsi="GRAPHIK-LIGHT"/>
              </w:rPr>
              <w:t>06 ottobre 2022</w:t>
            </w:r>
          </w:p>
        </w:tc>
        <w:tc>
          <w:tcPr>
            <w:tcW w:w="7081" w:type="dxa"/>
          </w:tcPr>
          <w:p w14:paraId="61F00D52" w14:textId="77777777" w:rsidR="000F2F7D" w:rsidRDefault="000F2F7D" w:rsidP="00B05EEE">
            <w:pPr>
              <w:jc w:val="both"/>
              <w:rPr>
                <w:rFonts w:ascii="GRAPHIK-LIGHT" w:hAnsi="GRAPHIK-LIGHT"/>
              </w:rPr>
            </w:pPr>
            <w:r>
              <w:rPr>
                <w:rFonts w:ascii="GRAPHIK-LIGHT" w:hAnsi="GRAPHIK-LIGHT"/>
              </w:rPr>
              <w:t xml:space="preserve">L’assistenza territoriale nel Servizio Sanitario Nazionale. Convegno: Il DM 77/2022 </w:t>
            </w:r>
            <w:r w:rsidRPr="00B83382">
              <w:rPr>
                <w:rFonts w:ascii="GRAPHIK-LIGHT" w:hAnsi="GRAPHIK-LIGHT"/>
                <w:i/>
                <w:iCs/>
              </w:rPr>
              <w:t>Regolamento recante la definizione di modelli e standard per lo sviluppo dell’assistenza territoriale nel Servizio sanitario nazionale.</w:t>
            </w:r>
          </w:p>
        </w:tc>
      </w:tr>
      <w:tr w:rsidR="0081331A" w14:paraId="484B3B82" w14:textId="77777777" w:rsidTr="00B55434">
        <w:tc>
          <w:tcPr>
            <w:tcW w:w="2547" w:type="dxa"/>
            <w:vAlign w:val="center"/>
          </w:tcPr>
          <w:p w14:paraId="29FAB65E" w14:textId="2B8119B2" w:rsidR="0081331A" w:rsidRDefault="0081331A" w:rsidP="00D57AC8">
            <w:pPr>
              <w:jc w:val="center"/>
              <w:rPr>
                <w:rFonts w:ascii="GRAPHIK-LIGHT" w:hAnsi="GRAPHIK-LIGHT"/>
              </w:rPr>
            </w:pPr>
            <w:r>
              <w:rPr>
                <w:rFonts w:ascii="GRAPHIK-LIGHT" w:hAnsi="GRAPHIK-LIGHT"/>
              </w:rPr>
              <w:t>07 ottobre 2022</w:t>
            </w:r>
          </w:p>
        </w:tc>
        <w:tc>
          <w:tcPr>
            <w:tcW w:w="7081" w:type="dxa"/>
          </w:tcPr>
          <w:p w14:paraId="1232F770" w14:textId="4D6567E7" w:rsidR="007E7FDF" w:rsidRDefault="00CC3781" w:rsidP="00B05EEE">
            <w:pPr>
              <w:jc w:val="both"/>
              <w:rPr>
                <w:rFonts w:ascii="GRAPHIK-LIGHT" w:hAnsi="GRAPHIK-LIGHT"/>
              </w:rPr>
            </w:pPr>
            <w:r>
              <w:rPr>
                <w:rFonts w:ascii="GRAPHIK-LIGHT" w:hAnsi="GRAPHIK-LIGHT"/>
              </w:rPr>
              <w:t>I nuovi approcci strategici nel Servizio Sanitario Nazionale</w:t>
            </w:r>
            <w:r w:rsidR="0081331A">
              <w:rPr>
                <w:rFonts w:ascii="GRAPHIK-LIGHT" w:hAnsi="GRAPHIK-LIGHT"/>
              </w:rPr>
              <w:t>.</w:t>
            </w:r>
          </w:p>
        </w:tc>
      </w:tr>
      <w:tr w:rsidR="007E7FDF" w14:paraId="54D022FE" w14:textId="77777777" w:rsidTr="00B55434">
        <w:tc>
          <w:tcPr>
            <w:tcW w:w="2547" w:type="dxa"/>
            <w:vAlign w:val="center"/>
          </w:tcPr>
          <w:p w14:paraId="7FBAD25D" w14:textId="3E90B42B" w:rsidR="007E7FDF" w:rsidRDefault="007E7FDF" w:rsidP="00D57AC8">
            <w:pPr>
              <w:jc w:val="center"/>
              <w:rPr>
                <w:rFonts w:ascii="GRAPHIK-LIGHT" w:hAnsi="GRAPHIK-LIGHT"/>
              </w:rPr>
            </w:pPr>
            <w:r>
              <w:rPr>
                <w:rFonts w:ascii="GRAPHIK-LIGHT" w:hAnsi="GRAPHIK-LIGHT"/>
              </w:rPr>
              <w:t>11 ottobre 2022</w:t>
            </w:r>
          </w:p>
        </w:tc>
        <w:tc>
          <w:tcPr>
            <w:tcW w:w="7081" w:type="dxa"/>
          </w:tcPr>
          <w:p w14:paraId="3D252383" w14:textId="4204E967" w:rsidR="007E7FDF" w:rsidRDefault="007E7FDF" w:rsidP="007E7FDF">
            <w:pPr>
              <w:jc w:val="both"/>
              <w:rPr>
                <w:rFonts w:ascii="GRAPHIK-LIGHT" w:hAnsi="GRAPHIK-LIGHT"/>
              </w:rPr>
            </w:pPr>
            <w:r>
              <w:rPr>
                <w:rFonts w:ascii="GRAPHIK-LIGHT" w:hAnsi="GRAPHIK-LIGHT"/>
              </w:rPr>
              <w:t xml:space="preserve">L’analisi del settore. L’analisi dei concorrenti nello scenario internazionale. </w:t>
            </w:r>
            <w:r w:rsidR="006F4D04">
              <w:rPr>
                <w:rFonts w:ascii="GRAPHIK-LIGHT" w:hAnsi="GRAPHIK-LIGHT"/>
              </w:rPr>
              <w:t xml:space="preserve"> </w:t>
            </w:r>
          </w:p>
        </w:tc>
      </w:tr>
      <w:tr w:rsidR="007E7FDF" w14:paraId="399D961D" w14:textId="77777777" w:rsidTr="00B55434">
        <w:tc>
          <w:tcPr>
            <w:tcW w:w="2547" w:type="dxa"/>
            <w:vAlign w:val="center"/>
          </w:tcPr>
          <w:p w14:paraId="36E59DFB" w14:textId="505CAB30" w:rsidR="007E7FDF" w:rsidRDefault="007E7FDF" w:rsidP="00D57AC8">
            <w:pPr>
              <w:jc w:val="center"/>
              <w:rPr>
                <w:rFonts w:ascii="GRAPHIK-LIGHT" w:hAnsi="GRAPHIK-LIGHT"/>
              </w:rPr>
            </w:pPr>
            <w:r>
              <w:rPr>
                <w:rFonts w:ascii="GRAPHIK-LIGHT" w:hAnsi="GRAPHIK-LIGHT"/>
              </w:rPr>
              <w:t>12 ottobre 2022</w:t>
            </w:r>
          </w:p>
        </w:tc>
        <w:tc>
          <w:tcPr>
            <w:tcW w:w="7081" w:type="dxa"/>
          </w:tcPr>
          <w:p w14:paraId="21EA6E7E" w14:textId="772D6FFA" w:rsidR="007E7FDF" w:rsidRDefault="004B4F4D" w:rsidP="007E7FDF">
            <w:pPr>
              <w:jc w:val="both"/>
              <w:rPr>
                <w:rFonts w:ascii="GRAPHIK-LIGHT" w:hAnsi="GRAPHIK-LIGHT"/>
              </w:rPr>
            </w:pPr>
            <w:r>
              <w:rPr>
                <w:rFonts w:ascii="GRAPHIK-LIGHT" w:hAnsi="GRAPHIK-LIGHT"/>
              </w:rPr>
              <w:t xml:space="preserve">Il processo di </w:t>
            </w:r>
            <w:r w:rsidR="00792110">
              <w:rPr>
                <w:rFonts w:ascii="GRAPHIK-LIGHT" w:hAnsi="GRAPHIK-LIGHT"/>
              </w:rPr>
              <w:t xml:space="preserve">pianificazione </w:t>
            </w:r>
            <w:r w:rsidR="00256D71">
              <w:rPr>
                <w:rFonts w:ascii="GRAPHIK-LIGHT" w:hAnsi="GRAPHIK-LIGHT"/>
              </w:rPr>
              <w:t>strategica</w:t>
            </w:r>
            <w:r w:rsidR="00792110">
              <w:rPr>
                <w:rFonts w:ascii="GRAPHIK-LIGHT" w:hAnsi="GRAPHIK-LIGHT"/>
              </w:rPr>
              <w:t xml:space="preserve"> nelle imprese internazionali</w:t>
            </w:r>
            <w:r w:rsidR="007E7FDF">
              <w:rPr>
                <w:rFonts w:ascii="GRAPHIK-LIGHT" w:hAnsi="GRAPHIK-LIGHT"/>
              </w:rPr>
              <w:t>.</w:t>
            </w:r>
          </w:p>
        </w:tc>
      </w:tr>
      <w:tr w:rsidR="007E7FDF" w14:paraId="2A747858" w14:textId="77777777" w:rsidTr="00B55434">
        <w:tc>
          <w:tcPr>
            <w:tcW w:w="2547" w:type="dxa"/>
            <w:vAlign w:val="center"/>
          </w:tcPr>
          <w:p w14:paraId="2F046167" w14:textId="0E203AEA" w:rsidR="007E7FDF" w:rsidRDefault="007E7FDF" w:rsidP="007E7FDF">
            <w:pPr>
              <w:jc w:val="center"/>
              <w:rPr>
                <w:rFonts w:ascii="GRAPHIK-LIGHT" w:hAnsi="GRAPHIK-LIGHT"/>
              </w:rPr>
            </w:pPr>
            <w:r>
              <w:rPr>
                <w:rFonts w:ascii="GRAPHIK-LIGHT" w:hAnsi="GRAPHIK-LIGHT"/>
              </w:rPr>
              <w:lastRenderedPageBreak/>
              <w:t>13 ottobre 2022</w:t>
            </w:r>
          </w:p>
        </w:tc>
        <w:tc>
          <w:tcPr>
            <w:tcW w:w="7081" w:type="dxa"/>
          </w:tcPr>
          <w:p w14:paraId="56197A44" w14:textId="683A78B2" w:rsidR="007E7FDF" w:rsidRDefault="007E7FDF" w:rsidP="007E7FDF">
            <w:pPr>
              <w:jc w:val="both"/>
              <w:rPr>
                <w:rFonts w:ascii="GRAPHIK-LIGHT" w:hAnsi="GRAPHIK-LIGHT"/>
              </w:rPr>
            </w:pPr>
            <w:r>
              <w:rPr>
                <w:rFonts w:ascii="GRAPHIK-LIGHT" w:hAnsi="GRAPHIK-LIGHT"/>
              </w:rPr>
              <w:t xml:space="preserve">La formulazione delle strategie nelle imprese internazionali. Project work. </w:t>
            </w:r>
          </w:p>
        </w:tc>
      </w:tr>
      <w:tr w:rsidR="00967B96" w14:paraId="77876C05" w14:textId="77777777" w:rsidTr="00B55434">
        <w:tc>
          <w:tcPr>
            <w:tcW w:w="2547" w:type="dxa"/>
            <w:vAlign w:val="center"/>
          </w:tcPr>
          <w:p w14:paraId="278F8B81" w14:textId="5E4544AB" w:rsidR="00967B96" w:rsidRDefault="00967B96" w:rsidP="007E7FDF">
            <w:pPr>
              <w:jc w:val="center"/>
              <w:rPr>
                <w:rFonts w:ascii="GRAPHIK-LIGHT" w:hAnsi="GRAPHIK-LIGHT"/>
              </w:rPr>
            </w:pPr>
            <w:r>
              <w:rPr>
                <w:rFonts w:ascii="GRAPHIK-LIGHT" w:hAnsi="GRAPHIK-LIGHT"/>
              </w:rPr>
              <w:t>18 ottobre 2022</w:t>
            </w:r>
          </w:p>
        </w:tc>
        <w:tc>
          <w:tcPr>
            <w:tcW w:w="7081" w:type="dxa"/>
          </w:tcPr>
          <w:p w14:paraId="48E7968D" w14:textId="4B081F17" w:rsidR="00967B96" w:rsidRDefault="00967B96" w:rsidP="007E7FDF">
            <w:pPr>
              <w:jc w:val="both"/>
              <w:rPr>
                <w:rFonts w:ascii="GRAPHIK-LIGHT" w:hAnsi="GRAPHIK-LIGHT"/>
              </w:rPr>
            </w:pPr>
            <w:r>
              <w:rPr>
                <w:rFonts w:ascii="GRAPHIK-LIGHT" w:hAnsi="GRAPHIK-LIGHT"/>
              </w:rPr>
              <w:t>Analisi del contesto rilevante</w:t>
            </w:r>
            <w:r w:rsidR="006F4D04">
              <w:rPr>
                <w:rFonts w:ascii="GRAPHIK-LIGHT" w:hAnsi="GRAPHIK-LIGHT"/>
              </w:rPr>
              <w:t xml:space="preserve">: obiettivi e strumenti. </w:t>
            </w:r>
          </w:p>
        </w:tc>
      </w:tr>
      <w:tr w:rsidR="00967B96" w14:paraId="260D4F19" w14:textId="77777777" w:rsidTr="00B55434">
        <w:tc>
          <w:tcPr>
            <w:tcW w:w="2547" w:type="dxa"/>
            <w:vAlign w:val="center"/>
          </w:tcPr>
          <w:p w14:paraId="4CB895A1" w14:textId="79C0417D" w:rsidR="00967B96" w:rsidRDefault="00967B96" w:rsidP="007E7FDF">
            <w:pPr>
              <w:jc w:val="center"/>
              <w:rPr>
                <w:rFonts w:ascii="GRAPHIK-LIGHT" w:hAnsi="GRAPHIK-LIGHT"/>
              </w:rPr>
            </w:pPr>
            <w:r>
              <w:rPr>
                <w:rFonts w:ascii="GRAPHIK-LIGHT" w:hAnsi="GRAPHIK-LIGHT"/>
              </w:rPr>
              <w:t>19 ottobre 2022</w:t>
            </w:r>
          </w:p>
        </w:tc>
        <w:tc>
          <w:tcPr>
            <w:tcW w:w="7081" w:type="dxa"/>
          </w:tcPr>
          <w:p w14:paraId="6051328E" w14:textId="12E2F322" w:rsidR="00967B96" w:rsidRDefault="00967B96" w:rsidP="007E7FDF">
            <w:pPr>
              <w:jc w:val="both"/>
              <w:rPr>
                <w:rFonts w:ascii="GRAPHIK-LIGHT" w:hAnsi="GRAPHIK-LIGHT"/>
              </w:rPr>
            </w:pPr>
            <w:r>
              <w:rPr>
                <w:rFonts w:ascii="GRAPHIK-LIGHT" w:hAnsi="GRAPHIK-LIGHT"/>
              </w:rPr>
              <w:t xml:space="preserve">Analisi PESTEL. Project work.  </w:t>
            </w:r>
          </w:p>
        </w:tc>
      </w:tr>
      <w:tr w:rsidR="00967B96" w:rsidRPr="00B9034E" w14:paraId="27B7A355" w14:textId="77777777" w:rsidTr="00B55434">
        <w:tc>
          <w:tcPr>
            <w:tcW w:w="2547" w:type="dxa"/>
            <w:vAlign w:val="center"/>
          </w:tcPr>
          <w:p w14:paraId="5FCF36AA" w14:textId="38C81DC5" w:rsidR="00967B96" w:rsidRDefault="00967B96" w:rsidP="007E7FDF">
            <w:pPr>
              <w:jc w:val="center"/>
              <w:rPr>
                <w:rFonts w:ascii="GRAPHIK-LIGHT" w:hAnsi="GRAPHIK-LIGHT"/>
              </w:rPr>
            </w:pPr>
            <w:r>
              <w:rPr>
                <w:rFonts w:ascii="GRAPHIK-LIGHT" w:hAnsi="GRAPHIK-LIGHT"/>
              </w:rPr>
              <w:t>20 ottobre 2022</w:t>
            </w:r>
          </w:p>
        </w:tc>
        <w:tc>
          <w:tcPr>
            <w:tcW w:w="7081" w:type="dxa"/>
          </w:tcPr>
          <w:p w14:paraId="4DC0AC70" w14:textId="77777777" w:rsidR="00967B96" w:rsidRPr="00B55434" w:rsidRDefault="00967B96" w:rsidP="007E7FDF">
            <w:pPr>
              <w:jc w:val="both"/>
              <w:rPr>
                <w:rFonts w:ascii="GRAPHIK-LIGHT" w:hAnsi="GRAPHIK-LIGHT"/>
              </w:rPr>
            </w:pPr>
            <w:r>
              <w:rPr>
                <w:rFonts w:ascii="GRAPHIK-LIGHT" w:hAnsi="GRAPHIK-LIGHT"/>
              </w:rPr>
              <w:t xml:space="preserve">Il processo di formulazione delle strategie. </w:t>
            </w:r>
            <w:r w:rsidRPr="00967B96">
              <w:rPr>
                <w:rFonts w:ascii="GRAPHIK-LIGHT" w:hAnsi="GRAPHIK-LIGHT"/>
                <w:lang w:val="en-US"/>
              </w:rPr>
              <w:t>The Strategy Concept I: Five Ps for Strategy (H. Min</w:t>
            </w:r>
            <w:r>
              <w:rPr>
                <w:rFonts w:ascii="GRAPHIK-LIGHT" w:hAnsi="GRAPHIK-LIGHT"/>
                <w:lang w:val="en-US"/>
              </w:rPr>
              <w:t xml:space="preserve">tzberg). </w:t>
            </w:r>
            <w:r w:rsidR="006F4D04" w:rsidRPr="00B55434">
              <w:rPr>
                <w:rFonts w:ascii="GRAPHIK-LIGHT" w:hAnsi="GRAPHIK-LIGHT"/>
              </w:rPr>
              <w:t>Percorso strategico.</w:t>
            </w:r>
          </w:p>
          <w:p w14:paraId="2B70F6C5" w14:textId="66955060" w:rsidR="00B9034E" w:rsidRPr="00B9034E" w:rsidRDefault="00B9034E" w:rsidP="007E7FDF">
            <w:pPr>
              <w:jc w:val="both"/>
              <w:rPr>
                <w:rFonts w:ascii="GRAPHIK-LIGHT" w:hAnsi="GRAPHIK-LIGHT"/>
              </w:rPr>
            </w:pPr>
            <w:r>
              <w:rPr>
                <w:rFonts w:ascii="GRAPHIK-LIGHT" w:hAnsi="GRAPHIK-LIGHT"/>
              </w:rPr>
              <w:t xml:space="preserve">Seminario su: </w:t>
            </w:r>
            <w:r w:rsidRPr="004E34AE">
              <w:rPr>
                <w:rFonts w:ascii="GRAPHIK-LIGHT" w:hAnsi="GRAPHIK-LIGHT"/>
              </w:rPr>
              <w:t>Marketing dei servizi nel settore della ristorazione in Italia.</w:t>
            </w:r>
            <w:r>
              <w:rPr>
                <w:rFonts w:ascii="GRAPHIK-LIGHT" w:hAnsi="GRAPHIK-LIGHT"/>
              </w:rPr>
              <w:t xml:space="preserve"> Un caso di eccellenza. </w:t>
            </w:r>
          </w:p>
        </w:tc>
      </w:tr>
      <w:tr w:rsidR="00967B96" w14:paraId="4B3BBAD8" w14:textId="77777777" w:rsidTr="00B55434">
        <w:tc>
          <w:tcPr>
            <w:tcW w:w="2547" w:type="dxa"/>
            <w:vAlign w:val="center"/>
          </w:tcPr>
          <w:p w14:paraId="29B82812" w14:textId="548D6D6F" w:rsidR="00967B96" w:rsidRDefault="00967B96" w:rsidP="007E7FDF">
            <w:pPr>
              <w:jc w:val="center"/>
              <w:rPr>
                <w:rFonts w:ascii="GRAPHIK-LIGHT" w:hAnsi="GRAPHIK-LIGHT"/>
              </w:rPr>
            </w:pPr>
            <w:r>
              <w:rPr>
                <w:rFonts w:ascii="GRAPHIK-LIGHT" w:hAnsi="GRAPHIK-LIGHT"/>
              </w:rPr>
              <w:t>21 ottobre 2022</w:t>
            </w:r>
          </w:p>
        </w:tc>
        <w:tc>
          <w:tcPr>
            <w:tcW w:w="7081" w:type="dxa"/>
          </w:tcPr>
          <w:p w14:paraId="18E60432" w14:textId="5E2A9577" w:rsidR="00967B96" w:rsidRDefault="00256D71" w:rsidP="007E7FDF">
            <w:pPr>
              <w:jc w:val="both"/>
              <w:rPr>
                <w:rFonts w:ascii="GRAPHIK-LIGHT" w:hAnsi="GRAPHIK-LIGHT"/>
              </w:rPr>
            </w:pPr>
            <w:r>
              <w:rPr>
                <w:rFonts w:ascii="GRAPHIK-LIGHT" w:hAnsi="GRAPHIK-LIGHT"/>
              </w:rPr>
              <w:t xml:space="preserve">Le strategie deliberate e le strategie emergenti nelle imprese internazionali. </w:t>
            </w:r>
          </w:p>
        </w:tc>
      </w:tr>
      <w:tr w:rsidR="00B55434" w14:paraId="1CE31C07" w14:textId="77777777" w:rsidTr="00B55434">
        <w:tc>
          <w:tcPr>
            <w:tcW w:w="2547" w:type="dxa"/>
            <w:vAlign w:val="center"/>
          </w:tcPr>
          <w:p w14:paraId="78ECF1CC" w14:textId="6F9A834B" w:rsidR="00B55434" w:rsidRDefault="00B55434" w:rsidP="007E7FDF">
            <w:pPr>
              <w:jc w:val="center"/>
              <w:rPr>
                <w:rFonts w:ascii="GRAPHIK-LIGHT" w:hAnsi="GRAPHIK-LIGHT"/>
              </w:rPr>
            </w:pPr>
            <w:r>
              <w:rPr>
                <w:rFonts w:ascii="GRAPHIK-LIGHT" w:hAnsi="GRAPHIK-LIGHT"/>
              </w:rPr>
              <w:t>25 ottobre 2022</w:t>
            </w:r>
          </w:p>
        </w:tc>
        <w:tc>
          <w:tcPr>
            <w:tcW w:w="7081" w:type="dxa"/>
          </w:tcPr>
          <w:p w14:paraId="350506D0" w14:textId="3491363B" w:rsidR="00B55434" w:rsidRDefault="00B355F5" w:rsidP="007E7FDF">
            <w:pPr>
              <w:jc w:val="both"/>
              <w:rPr>
                <w:rFonts w:ascii="GRAPHIK-LIGHT" w:hAnsi="GRAPHIK-LIGHT"/>
              </w:rPr>
            </w:pPr>
            <w:r>
              <w:rPr>
                <w:rFonts w:ascii="GRAPHIK-LIGHT" w:hAnsi="GRAPHIK-LIGHT"/>
              </w:rPr>
              <w:t>Analisi</w:t>
            </w:r>
            <w:r w:rsidR="00EF236E">
              <w:rPr>
                <w:rFonts w:ascii="GRAPHIK-LIGHT" w:hAnsi="GRAPHIK-LIGHT"/>
              </w:rPr>
              <w:t xml:space="preserve"> </w:t>
            </w:r>
            <w:r>
              <w:rPr>
                <w:rFonts w:ascii="GRAPHIK-LIGHT" w:hAnsi="GRAPHIK-LIGHT"/>
              </w:rPr>
              <w:t xml:space="preserve">imprese internazionali </w:t>
            </w:r>
            <w:r w:rsidR="00166C81">
              <w:rPr>
                <w:rFonts w:ascii="GRAPHIK-LIGHT" w:hAnsi="GRAPHIK-LIGHT"/>
              </w:rPr>
              <w:t>operanti n</w:t>
            </w:r>
            <w:r>
              <w:rPr>
                <w:rFonts w:ascii="GRAPHIK-LIGHT" w:hAnsi="GRAPHIK-LIGHT"/>
              </w:rPr>
              <w:t xml:space="preserve">ei settori di servizi energetico, sanitario e biofarmaceutico: definizione obiettivi </w:t>
            </w:r>
            <w:r w:rsidR="00EF236E">
              <w:rPr>
                <w:rFonts w:ascii="GRAPHIK-LIGHT" w:hAnsi="GRAPHIK-LIGHT"/>
              </w:rPr>
              <w:t xml:space="preserve">e modalità </w:t>
            </w:r>
            <w:r>
              <w:rPr>
                <w:rFonts w:ascii="GRAPHIK-LIGHT" w:hAnsi="GRAPHIK-LIGHT"/>
              </w:rPr>
              <w:t xml:space="preserve">di studio. </w:t>
            </w:r>
          </w:p>
        </w:tc>
      </w:tr>
      <w:tr w:rsidR="00B55434" w14:paraId="4FD2A48D" w14:textId="77777777" w:rsidTr="00B55434">
        <w:tc>
          <w:tcPr>
            <w:tcW w:w="2547" w:type="dxa"/>
            <w:vAlign w:val="center"/>
          </w:tcPr>
          <w:p w14:paraId="13A8F55A" w14:textId="148662C1" w:rsidR="00B55434" w:rsidRDefault="00B55434" w:rsidP="007E7FDF">
            <w:pPr>
              <w:jc w:val="center"/>
              <w:rPr>
                <w:rFonts w:ascii="GRAPHIK-LIGHT" w:hAnsi="GRAPHIK-LIGHT"/>
              </w:rPr>
            </w:pPr>
            <w:r>
              <w:rPr>
                <w:rFonts w:ascii="GRAPHIK-LIGHT" w:hAnsi="GRAPHIK-LIGHT"/>
              </w:rPr>
              <w:t>26 ottobre 2022</w:t>
            </w:r>
          </w:p>
        </w:tc>
        <w:tc>
          <w:tcPr>
            <w:tcW w:w="7081" w:type="dxa"/>
          </w:tcPr>
          <w:p w14:paraId="53D93BA9" w14:textId="5F33A93A" w:rsidR="00B55434" w:rsidRDefault="00E04559" w:rsidP="007E7FDF">
            <w:pPr>
              <w:jc w:val="both"/>
              <w:rPr>
                <w:rFonts w:ascii="GRAPHIK-LIGHT" w:hAnsi="GRAPHIK-LIGHT"/>
              </w:rPr>
            </w:pPr>
            <w:r>
              <w:rPr>
                <w:rFonts w:ascii="GRAPHIK-LIGHT" w:hAnsi="GRAPHIK-LIGHT"/>
              </w:rPr>
              <w:t>Approfondimento su: l</w:t>
            </w:r>
            <w:r w:rsidR="00B355F5">
              <w:rPr>
                <w:rFonts w:ascii="GRAPHIK-LIGHT" w:hAnsi="GRAPHIK-LIGHT"/>
              </w:rPr>
              <w:t xml:space="preserve">’approccio al case study. </w:t>
            </w:r>
          </w:p>
        </w:tc>
      </w:tr>
      <w:tr w:rsidR="00B55434" w:rsidRPr="00B355F5" w14:paraId="6AA18D81" w14:textId="77777777" w:rsidTr="00B55434">
        <w:tc>
          <w:tcPr>
            <w:tcW w:w="2547" w:type="dxa"/>
            <w:vAlign w:val="center"/>
          </w:tcPr>
          <w:p w14:paraId="42D28AFE" w14:textId="7818EFCA" w:rsidR="00B55434" w:rsidRDefault="00B55434" w:rsidP="007E7FDF">
            <w:pPr>
              <w:jc w:val="center"/>
              <w:rPr>
                <w:rFonts w:ascii="GRAPHIK-LIGHT" w:hAnsi="GRAPHIK-LIGHT"/>
              </w:rPr>
            </w:pPr>
            <w:r>
              <w:rPr>
                <w:rFonts w:ascii="GRAPHIK-LIGHT" w:hAnsi="GRAPHIK-LIGHT"/>
              </w:rPr>
              <w:t>27 ottobre 2022</w:t>
            </w:r>
          </w:p>
        </w:tc>
        <w:tc>
          <w:tcPr>
            <w:tcW w:w="7081" w:type="dxa"/>
          </w:tcPr>
          <w:p w14:paraId="222B1A6D" w14:textId="090585D6" w:rsidR="00B55434" w:rsidRPr="00B355F5" w:rsidRDefault="00B355F5" w:rsidP="007E7FDF">
            <w:pPr>
              <w:jc w:val="both"/>
              <w:rPr>
                <w:rFonts w:ascii="GRAPHIK-LIGHT" w:hAnsi="GRAPHIK-LIGHT"/>
              </w:rPr>
            </w:pPr>
            <w:r w:rsidRPr="00B355F5">
              <w:rPr>
                <w:rFonts w:ascii="GRAPHIK-LIGHT" w:hAnsi="GRAPHIK-LIGHT"/>
              </w:rPr>
              <w:t xml:space="preserve">Le start up innovative in Italia: </w:t>
            </w:r>
            <w:r>
              <w:rPr>
                <w:rFonts w:ascii="GRAPHIK-LIGHT" w:hAnsi="GRAPHIK-LIGHT"/>
              </w:rPr>
              <w:t xml:space="preserve">analisi del profilo strategico. </w:t>
            </w:r>
          </w:p>
        </w:tc>
      </w:tr>
      <w:tr w:rsidR="00B55434" w14:paraId="33DD7732" w14:textId="77777777" w:rsidTr="00B55434">
        <w:tc>
          <w:tcPr>
            <w:tcW w:w="2547" w:type="dxa"/>
            <w:vAlign w:val="center"/>
          </w:tcPr>
          <w:p w14:paraId="665513E0" w14:textId="136FCA48" w:rsidR="00B55434" w:rsidRDefault="00B55434" w:rsidP="007E7FDF">
            <w:pPr>
              <w:jc w:val="center"/>
              <w:rPr>
                <w:rFonts w:ascii="GRAPHIK-LIGHT" w:hAnsi="GRAPHIK-LIGHT"/>
              </w:rPr>
            </w:pPr>
            <w:r>
              <w:rPr>
                <w:rFonts w:ascii="GRAPHIK-LIGHT" w:hAnsi="GRAPHIK-LIGHT"/>
              </w:rPr>
              <w:t>03 novembre 2022</w:t>
            </w:r>
          </w:p>
        </w:tc>
        <w:tc>
          <w:tcPr>
            <w:tcW w:w="7081" w:type="dxa"/>
          </w:tcPr>
          <w:p w14:paraId="68E853A3" w14:textId="1486F7CA" w:rsidR="00B55434" w:rsidRDefault="00B355F5" w:rsidP="007E7FDF">
            <w:pPr>
              <w:jc w:val="both"/>
              <w:rPr>
                <w:rFonts w:ascii="GRAPHIK-LIGHT" w:hAnsi="GRAPHIK-LIGHT"/>
              </w:rPr>
            </w:pPr>
            <w:r>
              <w:rPr>
                <w:rFonts w:ascii="GRAPHIK-LIGHT" w:hAnsi="GRAPHIK-LIGHT"/>
              </w:rPr>
              <w:t>Esercitazione in aula su Project work: analisi architettura strategica.</w:t>
            </w:r>
          </w:p>
        </w:tc>
      </w:tr>
      <w:tr w:rsidR="00FE5750" w14:paraId="5035E6A7" w14:textId="77777777" w:rsidTr="00B55434">
        <w:tc>
          <w:tcPr>
            <w:tcW w:w="2547" w:type="dxa"/>
            <w:vAlign w:val="center"/>
          </w:tcPr>
          <w:p w14:paraId="37B4D89F" w14:textId="109FCF5B" w:rsidR="00FE5750" w:rsidRDefault="00FE5750" w:rsidP="007E7FDF">
            <w:pPr>
              <w:jc w:val="center"/>
              <w:rPr>
                <w:rFonts w:ascii="GRAPHIK-LIGHT" w:hAnsi="GRAPHIK-LIGHT"/>
              </w:rPr>
            </w:pPr>
            <w:r>
              <w:rPr>
                <w:rFonts w:ascii="GRAPHIK-LIGHT" w:hAnsi="GRAPHIK-LIGHT"/>
              </w:rPr>
              <w:t>08 novembre 2022</w:t>
            </w:r>
          </w:p>
        </w:tc>
        <w:tc>
          <w:tcPr>
            <w:tcW w:w="7081" w:type="dxa"/>
          </w:tcPr>
          <w:p w14:paraId="2FE71C50" w14:textId="72A8DD54" w:rsidR="00FE5750" w:rsidRDefault="00FE5750" w:rsidP="007E7FDF">
            <w:pPr>
              <w:jc w:val="both"/>
              <w:rPr>
                <w:rFonts w:ascii="GRAPHIK-LIGHT" w:hAnsi="GRAPHIK-LIGHT"/>
              </w:rPr>
            </w:pPr>
            <w:r>
              <w:rPr>
                <w:rFonts w:ascii="GRAPHIK-LIGHT" w:hAnsi="GRAPHIK-LIGHT"/>
              </w:rPr>
              <w:t>Organizzazioni agili: peculiarità strategiche e criticità gestionali.</w:t>
            </w:r>
            <w:r w:rsidR="00A7267C">
              <w:rPr>
                <w:rFonts w:ascii="GRAPHIK-LIGHT" w:hAnsi="GRAPHIK-LIGHT"/>
              </w:rPr>
              <w:t xml:space="preserve"> </w:t>
            </w:r>
            <w:r w:rsidR="00CA19C4">
              <w:rPr>
                <w:rFonts w:ascii="GRAPHIK-LIGHT" w:hAnsi="GRAPHIK-LIGHT"/>
              </w:rPr>
              <w:t xml:space="preserve">Corporate Social Responsibility. Il caso aziendale La </w:t>
            </w:r>
            <w:proofErr w:type="spellStart"/>
            <w:r w:rsidR="00CA19C4">
              <w:rPr>
                <w:rFonts w:ascii="GRAPHIK-LIGHT" w:hAnsi="GRAPHIK-LIGHT"/>
              </w:rPr>
              <w:t>Horminga</w:t>
            </w:r>
            <w:proofErr w:type="spellEnd"/>
            <w:r w:rsidR="00CA19C4">
              <w:rPr>
                <w:rFonts w:ascii="GRAPHIK-LIGHT" w:hAnsi="GRAPHIK-LIGHT"/>
              </w:rPr>
              <w:t xml:space="preserve"> Verde. </w:t>
            </w:r>
          </w:p>
        </w:tc>
      </w:tr>
      <w:tr w:rsidR="00FE5750" w14:paraId="4AEAA114" w14:textId="77777777" w:rsidTr="00B55434">
        <w:tc>
          <w:tcPr>
            <w:tcW w:w="2547" w:type="dxa"/>
            <w:vAlign w:val="center"/>
          </w:tcPr>
          <w:p w14:paraId="7682A5AA" w14:textId="6E40E133" w:rsidR="00FE5750" w:rsidRDefault="00FE5750" w:rsidP="007E7FDF">
            <w:pPr>
              <w:jc w:val="center"/>
              <w:rPr>
                <w:rFonts w:ascii="GRAPHIK-LIGHT" w:hAnsi="GRAPHIK-LIGHT"/>
              </w:rPr>
            </w:pPr>
            <w:r>
              <w:rPr>
                <w:rFonts w:ascii="GRAPHIK-LIGHT" w:hAnsi="GRAPHIK-LIGHT"/>
              </w:rPr>
              <w:t>09 novembre 2022</w:t>
            </w:r>
          </w:p>
        </w:tc>
        <w:tc>
          <w:tcPr>
            <w:tcW w:w="7081" w:type="dxa"/>
          </w:tcPr>
          <w:p w14:paraId="0D1A7441" w14:textId="4E30D220" w:rsidR="00FE5750" w:rsidRDefault="00E35FD5" w:rsidP="007E7FDF">
            <w:pPr>
              <w:jc w:val="both"/>
              <w:rPr>
                <w:rFonts w:ascii="GRAPHIK-LIGHT" w:hAnsi="GRAPHIK-LIGHT"/>
              </w:rPr>
            </w:pPr>
            <w:r>
              <w:rPr>
                <w:rFonts w:ascii="GRAPHIK-LIGHT" w:hAnsi="GRAPHIK-LIGHT"/>
              </w:rPr>
              <w:t xml:space="preserve">Analisi di caso: Enel </w:t>
            </w:r>
            <w:proofErr w:type="spellStart"/>
            <w:r>
              <w:rPr>
                <w:rFonts w:ascii="GRAPHIK-LIGHT" w:hAnsi="GRAPHIK-LIGHT"/>
              </w:rPr>
              <w:t>SpA</w:t>
            </w:r>
            <w:proofErr w:type="spellEnd"/>
            <w:r>
              <w:rPr>
                <w:rFonts w:ascii="GRAPHIK-LIGHT" w:hAnsi="GRAPHIK-LIGHT"/>
              </w:rPr>
              <w:t xml:space="preserve"> ed Azienda Ospedaliero Universitaria Meyer </w:t>
            </w:r>
            <w:r w:rsidR="00F062C7">
              <w:rPr>
                <w:rFonts w:ascii="GRAPHIK-LIGHT" w:hAnsi="GRAPHIK-LIGHT"/>
              </w:rPr>
              <w:t>IRCCS.</w:t>
            </w:r>
            <w:r w:rsidR="00FE5750">
              <w:rPr>
                <w:rFonts w:ascii="GRAPHIK-LIGHT" w:hAnsi="GRAPHIK-LIGHT"/>
              </w:rPr>
              <w:t xml:space="preserve"> </w:t>
            </w:r>
          </w:p>
        </w:tc>
      </w:tr>
      <w:tr w:rsidR="00FE5750" w14:paraId="31DAB48A" w14:textId="77777777" w:rsidTr="00B55434">
        <w:tc>
          <w:tcPr>
            <w:tcW w:w="2547" w:type="dxa"/>
            <w:vAlign w:val="center"/>
          </w:tcPr>
          <w:p w14:paraId="65048B6E" w14:textId="4B668519" w:rsidR="00FE5750" w:rsidRDefault="00FE5750" w:rsidP="007E7FDF">
            <w:pPr>
              <w:jc w:val="center"/>
              <w:rPr>
                <w:rFonts w:ascii="GRAPHIK-LIGHT" w:hAnsi="GRAPHIK-LIGHT"/>
              </w:rPr>
            </w:pPr>
            <w:r>
              <w:rPr>
                <w:rFonts w:ascii="GRAPHIK-LIGHT" w:hAnsi="GRAPHIK-LIGHT"/>
              </w:rPr>
              <w:t>10 novembre 2022</w:t>
            </w:r>
          </w:p>
        </w:tc>
        <w:tc>
          <w:tcPr>
            <w:tcW w:w="7081" w:type="dxa"/>
          </w:tcPr>
          <w:p w14:paraId="7A65E3A2" w14:textId="2DC7D77A" w:rsidR="00FE5750" w:rsidRDefault="00FE5750" w:rsidP="007E7FDF">
            <w:pPr>
              <w:jc w:val="both"/>
              <w:rPr>
                <w:rFonts w:ascii="GRAPHIK-LIGHT" w:hAnsi="GRAPHIK-LIGHT"/>
              </w:rPr>
            </w:pPr>
            <w:r>
              <w:rPr>
                <w:rFonts w:ascii="GRAPHIK-LIGHT" w:hAnsi="GRAPHIK-LIGHT"/>
              </w:rPr>
              <w:t>Esercitazione in aula</w:t>
            </w:r>
            <w:r w:rsidR="00E35FD5">
              <w:rPr>
                <w:rFonts w:ascii="GRAPHIK-LIGHT" w:hAnsi="GRAPHIK-LIGHT"/>
              </w:rPr>
              <w:t xml:space="preserve"> su </w:t>
            </w:r>
            <w:r w:rsidR="00F062C7">
              <w:rPr>
                <w:rFonts w:ascii="GRAPHIK-LIGHT" w:hAnsi="GRAPHIK-LIGHT"/>
              </w:rPr>
              <w:t xml:space="preserve">legame tra il processo di pianificazione strategica e le risorse e le competenze alla base </w:t>
            </w:r>
            <w:r w:rsidR="003A58A3">
              <w:rPr>
                <w:rFonts w:ascii="GRAPHIK-LIGHT" w:hAnsi="GRAPHIK-LIGHT"/>
              </w:rPr>
              <w:t>delle strategie</w:t>
            </w:r>
            <w:r w:rsidR="00F062C7">
              <w:rPr>
                <w:rFonts w:ascii="GRAPHIK-LIGHT" w:hAnsi="GRAPHIK-LIGHT"/>
              </w:rPr>
              <w:t xml:space="preserve"> d’impresa. </w:t>
            </w:r>
            <w:r w:rsidR="003A58A3">
              <w:rPr>
                <w:rFonts w:ascii="GRAPHIK-LIGHT" w:hAnsi="GRAPHIK-LIGHT"/>
              </w:rPr>
              <w:t xml:space="preserve">Le strategie di collaborazione nel settore della Live Industry. Il caso di Agorà </w:t>
            </w:r>
            <w:proofErr w:type="spellStart"/>
            <w:r w:rsidR="003A58A3">
              <w:rPr>
                <w:rFonts w:ascii="GRAPHIK-LIGHT" w:hAnsi="GRAPHIK-LIGHT"/>
              </w:rPr>
              <w:t>Srl</w:t>
            </w:r>
            <w:proofErr w:type="spellEnd"/>
            <w:r w:rsidR="003A58A3">
              <w:rPr>
                <w:rFonts w:ascii="GRAPHIK-LIGHT" w:hAnsi="GRAPHIK-LIGHT"/>
              </w:rPr>
              <w:t>.</w:t>
            </w:r>
          </w:p>
        </w:tc>
      </w:tr>
      <w:tr w:rsidR="00B947CD" w14:paraId="5D009A74" w14:textId="77777777" w:rsidTr="00B55434">
        <w:tc>
          <w:tcPr>
            <w:tcW w:w="2547" w:type="dxa"/>
            <w:vAlign w:val="center"/>
          </w:tcPr>
          <w:p w14:paraId="2D16B525" w14:textId="5355CB2E" w:rsidR="00B947CD" w:rsidRDefault="00B947CD" w:rsidP="007E7FDF">
            <w:pPr>
              <w:jc w:val="center"/>
              <w:rPr>
                <w:rFonts w:ascii="GRAPHIK-LIGHT" w:hAnsi="GRAPHIK-LIGHT"/>
              </w:rPr>
            </w:pPr>
            <w:r>
              <w:rPr>
                <w:rFonts w:ascii="GRAPHIK-LIGHT" w:hAnsi="GRAPHIK-LIGHT"/>
              </w:rPr>
              <w:t>15 novembre 2022</w:t>
            </w:r>
          </w:p>
        </w:tc>
        <w:tc>
          <w:tcPr>
            <w:tcW w:w="7081" w:type="dxa"/>
          </w:tcPr>
          <w:p w14:paraId="5B300A1B" w14:textId="1D2970E9" w:rsidR="00B947CD" w:rsidRDefault="002A7BD3" w:rsidP="007E7FDF">
            <w:pPr>
              <w:jc w:val="both"/>
              <w:rPr>
                <w:rFonts w:ascii="GRAPHIK-LIGHT" w:hAnsi="GRAPHIK-LIGHT"/>
              </w:rPr>
            </w:pPr>
            <w:r>
              <w:rPr>
                <w:rFonts w:ascii="GRAPHIK-LIGHT" w:hAnsi="GRAPHIK-LIGHT"/>
              </w:rPr>
              <w:t xml:space="preserve">Esercitazione in aula. </w:t>
            </w:r>
            <w:r w:rsidR="00B947CD" w:rsidRPr="00B947CD">
              <w:rPr>
                <w:rFonts w:ascii="GRAPHIK-LIGHT" w:hAnsi="GRAPHIK-LIGHT"/>
              </w:rPr>
              <w:t>La gestione dei servizi sanitari. Il caso di Fondazione Policlinico Universitario Agostino Gemelli IRCCS.</w:t>
            </w:r>
          </w:p>
        </w:tc>
      </w:tr>
      <w:tr w:rsidR="002A7BD3" w14:paraId="56905BA6" w14:textId="77777777" w:rsidTr="00B55434">
        <w:tc>
          <w:tcPr>
            <w:tcW w:w="2547" w:type="dxa"/>
            <w:vAlign w:val="center"/>
          </w:tcPr>
          <w:p w14:paraId="498C89EB" w14:textId="6AF11C46" w:rsidR="002A7BD3" w:rsidRDefault="002A7BD3" w:rsidP="007E7FDF">
            <w:pPr>
              <w:jc w:val="center"/>
              <w:rPr>
                <w:rFonts w:ascii="GRAPHIK-LIGHT" w:hAnsi="GRAPHIK-LIGHT"/>
              </w:rPr>
            </w:pPr>
            <w:r>
              <w:rPr>
                <w:rFonts w:ascii="GRAPHIK-LIGHT" w:hAnsi="GRAPHIK-LIGHT"/>
              </w:rPr>
              <w:t>16 novembre 2022</w:t>
            </w:r>
          </w:p>
        </w:tc>
        <w:tc>
          <w:tcPr>
            <w:tcW w:w="7081" w:type="dxa"/>
          </w:tcPr>
          <w:p w14:paraId="2F93DCF4" w14:textId="145F3668" w:rsidR="002A7BD3" w:rsidRDefault="002A7BD3" w:rsidP="007E7FDF">
            <w:pPr>
              <w:jc w:val="both"/>
              <w:rPr>
                <w:rFonts w:ascii="GRAPHIK-LIGHT" w:hAnsi="GRAPHIK-LIGHT"/>
              </w:rPr>
            </w:pPr>
            <w:r>
              <w:rPr>
                <w:rFonts w:ascii="GRAPHIK-LIGHT" w:hAnsi="GRAPHIK-LIGHT"/>
              </w:rPr>
              <w:t xml:space="preserve">Il controllo strategico. </w:t>
            </w:r>
          </w:p>
        </w:tc>
      </w:tr>
      <w:tr w:rsidR="001515F0" w14:paraId="2052F901" w14:textId="77777777" w:rsidTr="00B55434">
        <w:tc>
          <w:tcPr>
            <w:tcW w:w="2547" w:type="dxa"/>
            <w:vAlign w:val="center"/>
          </w:tcPr>
          <w:p w14:paraId="1510729F" w14:textId="3C459C61" w:rsidR="001515F0" w:rsidRDefault="001515F0" w:rsidP="007E7FDF">
            <w:pPr>
              <w:jc w:val="center"/>
              <w:rPr>
                <w:rFonts w:ascii="GRAPHIK-LIGHT" w:hAnsi="GRAPHIK-LIGHT"/>
              </w:rPr>
            </w:pPr>
            <w:r>
              <w:rPr>
                <w:rFonts w:ascii="GRAPHIK-LIGHT" w:hAnsi="GRAPHIK-LIGHT"/>
              </w:rPr>
              <w:t>17 novembre 2022</w:t>
            </w:r>
          </w:p>
        </w:tc>
        <w:tc>
          <w:tcPr>
            <w:tcW w:w="7081" w:type="dxa"/>
          </w:tcPr>
          <w:p w14:paraId="3309F6EF" w14:textId="1FC16AEB" w:rsidR="001515F0" w:rsidRDefault="001515F0" w:rsidP="007E7FDF">
            <w:pPr>
              <w:jc w:val="both"/>
              <w:rPr>
                <w:rFonts w:ascii="GRAPHIK-LIGHT" w:hAnsi="GRAPHIK-LIGHT"/>
              </w:rPr>
            </w:pPr>
            <w:r>
              <w:rPr>
                <w:rFonts w:ascii="GRAPHIK-LIGHT" w:hAnsi="GRAPHIK-LIGHT"/>
              </w:rPr>
              <w:t xml:space="preserve">TAKE OFF. Premio Cambiamenti 2022. </w:t>
            </w:r>
          </w:p>
        </w:tc>
      </w:tr>
      <w:tr w:rsidR="00157FF3" w14:paraId="477FC482" w14:textId="77777777" w:rsidTr="00B55434">
        <w:tc>
          <w:tcPr>
            <w:tcW w:w="2547" w:type="dxa"/>
            <w:vAlign w:val="center"/>
          </w:tcPr>
          <w:p w14:paraId="3171E78E" w14:textId="3306DA76" w:rsidR="00157FF3" w:rsidRDefault="00157FF3" w:rsidP="007E7FDF">
            <w:pPr>
              <w:jc w:val="center"/>
              <w:rPr>
                <w:rFonts w:ascii="GRAPHIK-LIGHT" w:hAnsi="GRAPHIK-LIGHT"/>
              </w:rPr>
            </w:pPr>
            <w:r>
              <w:rPr>
                <w:rFonts w:ascii="GRAPHIK-LIGHT" w:hAnsi="GRAPHIK-LIGHT"/>
              </w:rPr>
              <w:t>22 novembre 2022</w:t>
            </w:r>
          </w:p>
        </w:tc>
        <w:tc>
          <w:tcPr>
            <w:tcW w:w="7081" w:type="dxa"/>
          </w:tcPr>
          <w:p w14:paraId="79CCF92A" w14:textId="7706754B" w:rsidR="00157FF3" w:rsidRDefault="00CB5C32" w:rsidP="007E7FDF">
            <w:pPr>
              <w:jc w:val="both"/>
              <w:rPr>
                <w:rFonts w:ascii="GRAPHIK-LIGHT" w:hAnsi="GRAPHIK-LIGHT"/>
              </w:rPr>
            </w:pPr>
            <w:r>
              <w:rPr>
                <w:rFonts w:ascii="GRAPHIK-LIGHT" w:hAnsi="GRAPHIK-LIGHT"/>
              </w:rPr>
              <w:t xml:space="preserve">Le strategie di gruppo alla scala internazionale. </w:t>
            </w:r>
            <w:r w:rsidR="002E6130">
              <w:rPr>
                <w:rFonts w:ascii="GRAPHIK-LIGHT" w:hAnsi="GRAPHIK-LIGHT"/>
              </w:rPr>
              <w:t>La funzione marketing nell’ambito della gestione d’impresa.</w:t>
            </w:r>
          </w:p>
        </w:tc>
      </w:tr>
      <w:tr w:rsidR="00157FF3" w14:paraId="02C6B880" w14:textId="77777777" w:rsidTr="00B55434">
        <w:tc>
          <w:tcPr>
            <w:tcW w:w="2547" w:type="dxa"/>
            <w:vAlign w:val="center"/>
          </w:tcPr>
          <w:p w14:paraId="70466B35" w14:textId="0EA3DAC0" w:rsidR="00157FF3" w:rsidRDefault="00157FF3" w:rsidP="007E7FDF">
            <w:pPr>
              <w:jc w:val="center"/>
              <w:rPr>
                <w:rFonts w:ascii="GRAPHIK-LIGHT" w:hAnsi="GRAPHIK-LIGHT"/>
              </w:rPr>
            </w:pPr>
            <w:r>
              <w:rPr>
                <w:rFonts w:ascii="GRAPHIK-LIGHT" w:hAnsi="GRAPHIK-LIGHT"/>
              </w:rPr>
              <w:t>23 novembre 2022</w:t>
            </w:r>
          </w:p>
        </w:tc>
        <w:tc>
          <w:tcPr>
            <w:tcW w:w="7081" w:type="dxa"/>
          </w:tcPr>
          <w:p w14:paraId="588BB5B5" w14:textId="0D8E0904" w:rsidR="00157FF3" w:rsidRDefault="00157FF3" w:rsidP="007E7FDF">
            <w:pPr>
              <w:jc w:val="both"/>
              <w:rPr>
                <w:rFonts w:ascii="GRAPHIK-LIGHT" w:hAnsi="GRAPHIK-LIGHT"/>
              </w:rPr>
            </w:pPr>
            <w:r>
              <w:rPr>
                <w:rFonts w:ascii="GRAPHIK-LIGHT" w:hAnsi="GRAPHIK-LIGHT"/>
              </w:rPr>
              <w:t xml:space="preserve">La </w:t>
            </w:r>
            <w:r w:rsidR="002E6130">
              <w:rPr>
                <w:rFonts w:ascii="GRAPHIK-LIGHT" w:hAnsi="GRAPHIK-LIGHT"/>
              </w:rPr>
              <w:t>governance delle imprese diversificate</w:t>
            </w:r>
            <w:r>
              <w:rPr>
                <w:rFonts w:ascii="GRAPHIK-LIGHT" w:hAnsi="GRAPHIK-LIGHT"/>
              </w:rPr>
              <w:t xml:space="preserve">. </w:t>
            </w:r>
          </w:p>
        </w:tc>
      </w:tr>
      <w:tr w:rsidR="00157FF3" w14:paraId="786A5692" w14:textId="77777777" w:rsidTr="00B55434">
        <w:tc>
          <w:tcPr>
            <w:tcW w:w="2547" w:type="dxa"/>
            <w:vAlign w:val="center"/>
          </w:tcPr>
          <w:p w14:paraId="1CB23DC9" w14:textId="1FCDF8B4" w:rsidR="00157FF3" w:rsidRDefault="00157FF3" w:rsidP="007E7FDF">
            <w:pPr>
              <w:jc w:val="center"/>
              <w:rPr>
                <w:rFonts w:ascii="GRAPHIK-LIGHT" w:hAnsi="GRAPHIK-LIGHT"/>
              </w:rPr>
            </w:pPr>
            <w:r>
              <w:rPr>
                <w:rFonts w:ascii="GRAPHIK-LIGHT" w:hAnsi="GRAPHIK-LIGHT"/>
              </w:rPr>
              <w:t>24 novembre 2022</w:t>
            </w:r>
          </w:p>
        </w:tc>
        <w:tc>
          <w:tcPr>
            <w:tcW w:w="7081" w:type="dxa"/>
          </w:tcPr>
          <w:p w14:paraId="7CF9060F" w14:textId="299287C4" w:rsidR="00157FF3" w:rsidRDefault="002E6130" w:rsidP="007E7FDF">
            <w:pPr>
              <w:jc w:val="both"/>
              <w:rPr>
                <w:rFonts w:ascii="GRAPHIK-LIGHT" w:hAnsi="GRAPHIK-LIGHT"/>
              </w:rPr>
            </w:pPr>
            <w:r>
              <w:rPr>
                <w:rFonts w:ascii="GRAPHIK-LIGHT" w:hAnsi="GRAPHIK-LIGHT"/>
              </w:rPr>
              <w:t xml:space="preserve">La gestione del cambiamento in presenza di più aree di attività: AO Meyer IRCCS ed Enel </w:t>
            </w:r>
            <w:proofErr w:type="spellStart"/>
            <w:r>
              <w:rPr>
                <w:rFonts w:ascii="GRAPHIK-LIGHT" w:hAnsi="GRAPHIK-LIGHT"/>
              </w:rPr>
              <w:t>SpA</w:t>
            </w:r>
            <w:proofErr w:type="spellEnd"/>
            <w:r>
              <w:rPr>
                <w:rFonts w:ascii="GRAPHIK-LIGHT" w:hAnsi="GRAPHIK-LIGHT"/>
              </w:rPr>
              <w:t>.</w:t>
            </w:r>
          </w:p>
        </w:tc>
      </w:tr>
    </w:tbl>
    <w:p w14:paraId="3E395E01" w14:textId="67E76219" w:rsidR="000F2F7D" w:rsidRDefault="000F2F7D" w:rsidP="006173E1">
      <w:pPr>
        <w:jc w:val="both"/>
        <w:rPr>
          <w:rFonts w:ascii="GRAPHIK-LIGHT" w:hAnsi="GRAPHIK-LIGHT"/>
        </w:rPr>
      </w:pPr>
    </w:p>
    <w:p w14:paraId="32AB4401" w14:textId="77777777" w:rsidR="000F2F7D" w:rsidRPr="006173E1" w:rsidRDefault="000F2F7D" w:rsidP="006173E1">
      <w:pPr>
        <w:jc w:val="both"/>
        <w:rPr>
          <w:rFonts w:ascii="GRAPHIK-LIGHT" w:hAnsi="GRAPHIK-LIGHT"/>
        </w:rPr>
      </w:pPr>
    </w:p>
    <w:p w14:paraId="05A7AF8E" w14:textId="51EC73D6" w:rsidR="0000417E" w:rsidRPr="000F2F7D" w:rsidRDefault="0000417E" w:rsidP="000F2F7D">
      <w:pPr>
        <w:jc w:val="both"/>
        <w:rPr>
          <w:rFonts w:ascii="GRAPHIK-LIGHT" w:hAnsi="GRAPHIK-LIGHT"/>
        </w:rPr>
      </w:pPr>
    </w:p>
    <w:sectPr w:rsidR="0000417E" w:rsidRPr="000F2F7D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71276" w14:textId="77777777" w:rsidR="00BE136D" w:rsidRDefault="00BE136D" w:rsidP="001B1531">
      <w:r>
        <w:separator/>
      </w:r>
    </w:p>
  </w:endnote>
  <w:endnote w:type="continuationSeparator" w:id="0">
    <w:p w14:paraId="579D7A64" w14:textId="77777777" w:rsidR="00BE136D" w:rsidRDefault="00BE136D" w:rsidP="001B1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GRAPHIK-LIGHT">
    <w:panose1 w:val="020B0403030202060203"/>
    <w:charset w:val="4D"/>
    <w:family w:val="swiss"/>
    <w:pitch w:val="variable"/>
    <w:sig w:usb0="00000007" w:usb1="00000000" w:usb2="00000000" w:usb3="00000000" w:csb0="00000093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92E20" w14:textId="77777777" w:rsidR="008E14BB" w:rsidRPr="00B9420F" w:rsidRDefault="008E14BB" w:rsidP="008E14BB">
    <w:pPr>
      <w:pStyle w:val="Pidipagina"/>
      <w:jc w:val="center"/>
      <w:rPr>
        <w:rFonts w:ascii="Avenir" w:hAnsi="Avenir"/>
        <w:sz w:val="16"/>
        <w:szCs w:val="16"/>
      </w:rPr>
    </w:pPr>
    <w:r w:rsidRPr="00B9420F">
      <w:rPr>
        <w:rFonts w:ascii="Avenir" w:hAnsi="Avenir"/>
        <w:sz w:val="16"/>
        <w:szCs w:val="16"/>
      </w:rPr>
      <w:t>Prof.ssa Paola Olimpia Achard</w:t>
    </w:r>
  </w:p>
  <w:p w14:paraId="3E7F943F" w14:textId="35A4E4C1" w:rsidR="008E14BB" w:rsidRPr="008E14BB" w:rsidRDefault="008E14BB" w:rsidP="008E14BB">
    <w:pPr>
      <w:pStyle w:val="Pidipagina"/>
      <w:jc w:val="center"/>
      <w:rPr>
        <w:rFonts w:ascii="Avenir" w:hAnsi="Avenir"/>
        <w:sz w:val="16"/>
        <w:szCs w:val="16"/>
      </w:rPr>
    </w:pPr>
    <w:r w:rsidRPr="00B9420F">
      <w:rPr>
        <w:rFonts w:ascii="Avenir" w:hAnsi="Avenir"/>
        <w:sz w:val="16"/>
        <w:szCs w:val="16"/>
      </w:rPr>
      <w:t>paolaolimpia.achard@univaq.it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24622" w14:textId="77777777" w:rsidR="00BE136D" w:rsidRDefault="00BE136D" w:rsidP="001B1531">
      <w:r>
        <w:separator/>
      </w:r>
    </w:p>
  </w:footnote>
  <w:footnote w:type="continuationSeparator" w:id="0">
    <w:p w14:paraId="732F0ED9" w14:textId="77777777" w:rsidR="00BE136D" w:rsidRDefault="00BE136D" w:rsidP="001B1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2263"/>
      <w:gridCol w:w="4962"/>
      <w:gridCol w:w="2403"/>
    </w:tblGrid>
    <w:tr w:rsidR="00BF5C5A" w14:paraId="3EEAD8CA" w14:textId="77777777" w:rsidTr="00B05EEE">
      <w:tc>
        <w:tcPr>
          <w:tcW w:w="2263" w:type="dxa"/>
          <w:tcBorders>
            <w:top w:val="nil"/>
            <w:left w:val="nil"/>
            <w:bottom w:val="nil"/>
            <w:right w:val="nil"/>
          </w:tcBorders>
        </w:tcPr>
        <w:p w14:paraId="680BBADB" w14:textId="77777777" w:rsidR="00BF5C5A" w:rsidRDefault="00BF5C5A" w:rsidP="00BF5C5A">
          <w:pPr>
            <w:pStyle w:val="Intestazione"/>
            <w:jc w:val="center"/>
          </w:pPr>
          <w:r w:rsidRPr="00C80D7D">
            <w:rPr>
              <w:noProof/>
            </w:rPr>
            <w:drawing>
              <wp:inline distT="0" distB="0" distL="0" distR="0" wp14:anchorId="528B8517" wp14:editId="4D7D96AD">
                <wp:extent cx="619125" cy="771525"/>
                <wp:effectExtent l="0" t="0" r="3175" b="3175"/>
                <wp:docPr id="1" name="Immagine 1" descr="Logo definiti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definiti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533" cy="784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250C5574" w14:textId="77777777" w:rsidR="00BF5C5A" w:rsidRPr="00B9420F" w:rsidRDefault="00BF5C5A" w:rsidP="00BF5C5A">
          <w:pPr>
            <w:pStyle w:val="Intestazione"/>
            <w:jc w:val="center"/>
            <w:rPr>
              <w:rFonts w:ascii="Avenir" w:hAnsi="Avenir"/>
              <w:caps/>
              <w:sz w:val="12"/>
            </w:rPr>
          </w:pPr>
          <w:r w:rsidRPr="00B9420F">
            <w:rPr>
              <w:rFonts w:ascii="Avenir" w:hAnsi="Avenir"/>
              <w:caps/>
              <w:sz w:val="12"/>
            </w:rPr>
            <w:t>UniversitA’ degli Studi</w:t>
          </w:r>
        </w:p>
        <w:p w14:paraId="6536FA36" w14:textId="77777777" w:rsidR="00BF5C5A" w:rsidRDefault="00BF5C5A" w:rsidP="00BF5C5A">
          <w:pPr>
            <w:pStyle w:val="Intestazione"/>
            <w:jc w:val="center"/>
          </w:pPr>
          <w:r w:rsidRPr="00B9420F">
            <w:rPr>
              <w:rFonts w:ascii="Avenir" w:hAnsi="Avenir"/>
              <w:caps/>
              <w:sz w:val="12"/>
            </w:rPr>
            <w:t>delL’Aquila</w:t>
          </w:r>
        </w:p>
      </w:tc>
      <w:tc>
        <w:tcPr>
          <w:tcW w:w="496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929D6DE" w14:textId="77777777" w:rsidR="00BF5C5A" w:rsidRPr="00B9420F" w:rsidRDefault="00BF5C5A" w:rsidP="00BF5C5A">
          <w:pPr>
            <w:pStyle w:val="Intestazione"/>
            <w:jc w:val="center"/>
            <w:rPr>
              <w:rFonts w:ascii="Avenir" w:hAnsi="Avenir"/>
              <w:b/>
              <w:bCs/>
              <w:sz w:val="22"/>
              <w:szCs w:val="22"/>
            </w:rPr>
          </w:pPr>
          <w:r w:rsidRPr="00B9420F">
            <w:rPr>
              <w:rFonts w:ascii="Avenir" w:hAnsi="Avenir"/>
              <w:b/>
              <w:bCs/>
              <w:sz w:val="22"/>
              <w:szCs w:val="22"/>
            </w:rPr>
            <w:t>Università degli Studi dell’Aquila</w:t>
          </w:r>
        </w:p>
        <w:p w14:paraId="2524AFAF" w14:textId="77777777" w:rsidR="00BF5C5A" w:rsidRPr="00B9420F" w:rsidRDefault="00BF5C5A" w:rsidP="00BF5C5A">
          <w:pPr>
            <w:pStyle w:val="Intestazione"/>
            <w:jc w:val="center"/>
            <w:rPr>
              <w:rFonts w:ascii="Avenir" w:hAnsi="Avenir"/>
              <w:b/>
              <w:bCs/>
              <w:sz w:val="22"/>
              <w:szCs w:val="22"/>
            </w:rPr>
          </w:pPr>
          <w:r w:rsidRPr="00B9420F">
            <w:rPr>
              <w:rFonts w:ascii="Avenir" w:hAnsi="Avenir"/>
              <w:b/>
              <w:bCs/>
              <w:sz w:val="22"/>
              <w:szCs w:val="22"/>
            </w:rPr>
            <w:t>Dipartimento di Ingegneria Industriale e dell’Informazione e di Economia – DIIIE</w:t>
          </w:r>
        </w:p>
        <w:p w14:paraId="0B74866C" w14:textId="0444BBD4" w:rsidR="00BF5C5A" w:rsidRPr="00B9420F" w:rsidRDefault="00BF5C5A" w:rsidP="00BF5C5A">
          <w:pPr>
            <w:pStyle w:val="Intestazione"/>
            <w:jc w:val="center"/>
            <w:rPr>
              <w:rFonts w:ascii="Avenir" w:hAnsi="Avenir"/>
              <w:b/>
              <w:bCs/>
            </w:rPr>
          </w:pPr>
          <w:r w:rsidRPr="00B9420F">
            <w:rPr>
              <w:rFonts w:ascii="Avenir" w:hAnsi="Avenir"/>
              <w:b/>
              <w:bCs/>
              <w:sz w:val="22"/>
              <w:szCs w:val="22"/>
            </w:rPr>
            <w:t>a.a. 202</w:t>
          </w:r>
          <w:r>
            <w:rPr>
              <w:rFonts w:ascii="Avenir" w:hAnsi="Avenir"/>
              <w:b/>
              <w:bCs/>
              <w:sz w:val="22"/>
              <w:szCs w:val="22"/>
            </w:rPr>
            <w:t>2</w:t>
          </w:r>
          <w:r w:rsidRPr="00B9420F">
            <w:rPr>
              <w:rFonts w:ascii="Avenir" w:hAnsi="Avenir"/>
              <w:b/>
              <w:bCs/>
              <w:sz w:val="22"/>
              <w:szCs w:val="22"/>
            </w:rPr>
            <w:t>/202</w:t>
          </w:r>
          <w:r>
            <w:rPr>
              <w:rFonts w:ascii="Avenir" w:hAnsi="Avenir"/>
              <w:b/>
              <w:bCs/>
              <w:sz w:val="22"/>
              <w:szCs w:val="22"/>
            </w:rPr>
            <w:t>3</w:t>
          </w:r>
        </w:p>
      </w:tc>
      <w:tc>
        <w:tcPr>
          <w:tcW w:w="2403" w:type="dxa"/>
          <w:tcBorders>
            <w:top w:val="nil"/>
            <w:left w:val="nil"/>
            <w:bottom w:val="nil"/>
            <w:right w:val="nil"/>
          </w:tcBorders>
        </w:tcPr>
        <w:p w14:paraId="10559968" w14:textId="77777777" w:rsidR="00BF5C5A" w:rsidRDefault="00BF5C5A" w:rsidP="00BF5C5A">
          <w:pPr>
            <w:pStyle w:val="Intestazione"/>
            <w:jc w:val="center"/>
          </w:pPr>
          <w:r w:rsidRPr="00C80D7D">
            <w:rPr>
              <w:noProof/>
            </w:rPr>
            <w:drawing>
              <wp:inline distT="0" distB="0" distL="0" distR="0" wp14:anchorId="660A4416" wp14:editId="32E2E6A5">
                <wp:extent cx="978586" cy="968991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DIIIE.gif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30" t="4938" r="7819" b="11934"/>
                        <a:stretch/>
                      </pic:blipFill>
                      <pic:spPr bwMode="auto">
                        <a:xfrm>
                          <a:off x="0" y="0"/>
                          <a:ext cx="982307" cy="972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4D8D1550" w14:textId="77777777" w:rsidR="001B1531" w:rsidRDefault="001B153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33603"/>
    <w:multiLevelType w:val="hybridMultilevel"/>
    <w:tmpl w:val="67E674B2"/>
    <w:lvl w:ilvl="0" w:tplc="8D403C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14EC6"/>
    <w:multiLevelType w:val="hybridMultilevel"/>
    <w:tmpl w:val="6A20DEF2"/>
    <w:lvl w:ilvl="0" w:tplc="1DCCA176">
      <w:start w:val="6"/>
      <w:numFmt w:val="bullet"/>
      <w:lvlText w:val="-"/>
      <w:lvlJc w:val="left"/>
      <w:pPr>
        <w:ind w:left="720" w:hanging="360"/>
      </w:pPr>
      <w:rPr>
        <w:rFonts w:ascii="SymbolMT" w:eastAsia="Times New Roman" w:hAnsi="SymbolMT" w:cs="Times New Roman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F1478"/>
    <w:multiLevelType w:val="hybridMultilevel"/>
    <w:tmpl w:val="E36AF43C"/>
    <w:lvl w:ilvl="0" w:tplc="A80A27F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DD44E2"/>
    <w:multiLevelType w:val="hybridMultilevel"/>
    <w:tmpl w:val="6E94A1E8"/>
    <w:lvl w:ilvl="0" w:tplc="14E4C30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5820742">
    <w:abstractNumId w:val="0"/>
  </w:num>
  <w:num w:numId="2" w16cid:durableId="1941403680">
    <w:abstractNumId w:val="1"/>
  </w:num>
  <w:num w:numId="3" w16cid:durableId="1022247200">
    <w:abstractNumId w:val="2"/>
  </w:num>
  <w:num w:numId="4" w16cid:durableId="19759823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189"/>
    <w:rsid w:val="0000417E"/>
    <w:rsid w:val="00037B74"/>
    <w:rsid w:val="00065CC0"/>
    <w:rsid w:val="0007321A"/>
    <w:rsid w:val="000A477F"/>
    <w:rsid w:val="000C49F8"/>
    <w:rsid w:val="000C6DB0"/>
    <w:rsid w:val="000E049D"/>
    <w:rsid w:val="000F2F7D"/>
    <w:rsid w:val="00122375"/>
    <w:rsid w:val="001515F0"/>
    <w:rsid w:val="00157FF3"/>
    <w:rsid w:val="00166C81"/>
    <w:rsid w:val="0018191F"/>
    <w:rsid w:val="001B1531"/>
    <w:rsid w:val="001C0CBB"/>
    <w:rsid w:val="001F0AA7"/>
    <w:rsid w:val="00242B77"/>
    <w:rsid w:val="00253DD5"/>
    <w:rsid w:val="00256D71"/>
    <w:rsid w:val="00283B0E"/>
    <w:rsid w:val="002853E7"/>
    <w:rsid w:val="002A7BD3"/>
    <w:rsid w:val="002E6130"/>
    <w:rsid w:val="00312FD8"/>
    <w:rsid w:val="003547D8"/>
    <w:rsid w:val="0038383D"/>
    <w:rsid w:val="003A58A3"/>
    <w:rsid w:val="003B5107"/>
    <w:rsid w:val="003D0B8B"/>
    <w:rsid w:val="003D5232"/>
    <w:rsid w:val="00403587"/>
    <w:rsid w:val="0042060C"/>
    <w:rsid w:val="004B4F4D"/>
    <w:rsid w:val="004F7424"/>
    <w:rsid w:val="00516C5E"/>
    <w:rsid w:val="005465E3"/>
    <w:rsid w:val="00550E17"/>
    <w:rsid w:val="00553D72"/>
    <w:rsid w:val="00566BA3"/>
    <w:rsid w:val="005C08B8"/>
    <w:rsid w:val="006173E1"/>
    <w:rsid w:val="006318A8"/>
    <w:rsid w:val="00633AE5"/>
    <w:rsid w:val="006E54FF"/>
    <w:rsid w:val="006F1FE8"/>
    <w:rsid w:val="006F4D04"/>
    <w:rsid w:val="006F6FC6"/>
    <w:rsid w:val="006F7973"/>
    <w:rsid w:val="00725369"/>
    <w:rsid w:val="00745161"/>
    <w:rsid w:val="007606FC"/>
    <w:rsid w:val="007658C1"/>
    <w:rsid w:val="0078398A"/>
    <w:rsid w:val="00783C1C"/>
    <w:rsid w:val="00792110"/>
    <w:rsid w:val="007B6D4F"/>
    <w:rsid w:val="007E7FDF"/>
    <w:rsid w:val="00800C46"/>
    <w:rsid w:val="0081331A"/>
    <w:rsid w:val="008203A5"/>
    <w:rsid w:val="00820967"/>
    <w:rsid w:val="00851A90"/>
    <w:rsid w:val="00853F13"/>
    <w:rsid w:val="008E14BB"/>
    <w:rsid w:val="00920246"/>
    <w:rsid w:val="009320A1"/>
    <w:rsid w:val="00966EDA"/>
    <w:rsid w:val="00967B96"/>
    <w:rsid w:val="00990354"/>
    <w:rsid w:val="009943A4"/>
    <w:rsid w:val="009C7FC9"/>
    <w:rsid w:val="009E3226"/>
    <w:rsid w:val="00A532E4"/>
    <w:rsid w:val="00A61200"/>
    <w:rsid w:val="00A7267C"/>
    <w:rsid w:val="00AB6289"/>
    <w:rsid w:val="00B203FF"/>
    <w:rsid w:val="00B355F5"/>
    <w:rsid w:val="00B46F43"/>
    <w:rsid w:val="00B55434"/>
    <w:rsid w:val="00B63D97"/>
    <w:rsid w:val="00B67D0A"/>
    <w:rsid w:val="00B875F1"/>
    <w:rsid w:val="00B9034E"/>
    <w:rsid w:val="00B947CD"/>
    <w:rsid w:val="00B9503C"/>
    <w:rsid w:val="00BA7A0A"/>
    <w:rsid w:val="00BE136D"/>
    <w:rsid w:val="00BF5C5A"/>
    <w:rsid w:val="00C50C45"/>
    <w:rsid w:val="00C65830"/>
    <w:rsid w:val="00C856FB"/>
    <w:rsid w:val="00C96B90"/>
    <w:rsid w:val="00CA19C4"/>
    <w:rsid w:val="00CA1FE5"/>
    <w:rsid w:val="00CB5C32"/>
    <w:rsid w:val="00CC3781"/>
    <w:rsid w:val="00CD640E"/>
    <w:rsid w:val="00CE47AF"/>
    <w:rsid w:val="00CF6CE0"/>
    <w:rsid w:val="00D06FD2"/>
    <w:rsid w:val="00D2031C"/>
    <w:rsid w:val="00D4793B"/>
    <w:rsid w:val="00D56527"/>
    <w:rsid w:val="00D57AC8"/>
    <w:rsid w:val="00DB2189"/>
    <w:rsid w:val="00DB60DA"/>
    <w:rsid w:val="00DB67F6"/>
    <w:rsid w:val="00E04559"/>
    <w:rsid w:val="00E13298"/>
    <w:rsid w:val="00E35FD5"/>
    <w:rsid w:val="00EF236E"/>
    <w:rsid w:val="00F062C7"/>
    <w:rsid w:val="00F25453"/>
    <w:rsid w:val="00F51ACA"/>
    <w:rsid w:val="00FD5723"/>
    <w:rsid w:val="00FE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5DC585"/>
  <w15:chartTrackingRefBased/>
  <w15:docId w15:val="{7CCAE858-399F-4A49-8C9D-0829830A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793B"/>
    <w:pPr>
      <w:ind w:left="720"/>
      <w:contextualSpacing/>
    </w:pPr>
  </w:style>
  <w:style w:type="table" w:styleId="Grigliatabella">
    <w:name w:val="Table Grid"/>
    <w:basedOn w:val="Tabellanormale"/>
    <w:uiPriority w:val="39"/>
    <w:rsid w:val="000F2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B15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1531"/>
  </w:style>
  <w:style w:type="paragraph" w:styleId="Pidipagina">
    <w:name w:val="footer"/>
    <w:basedOn w:val="Normale"/>
    <w:link w:val="PidipaginaCarattere"/>
    <w:uiPriority w:val="99"/>
    <w:unhideWhenUsed/>
    <w:rsid w:val="001B15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1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Bellini</dc:creator>
  <cp:keywords/>
  <dc:description/>
  <cp:lastModifiedBy>giorgio bellini</cp:lastModifiedBy>
  <cp:revision>39</cp:revision>
  <dcterms:created xsi:type="dcterms:W3CDTF">2022-10-10T07:39:00Z</dcterms:created>
  <dcterms:modified xsi:type="dcterms:W3CDTF">2022-11-23T15:48:00Z</dcterms:modified>
</cp:coreProperties>
</file>