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A06597" w:rsidRPr="00142B4F" w:rsidRDefault="00AE0F11">
      <w:pPr>
        <w:pStyle w:val="Titolo"/>
        <w:rPr>
          <w:rFonts w:ascii="Verdana" w:hAnsi="Verdana"/>
          <w:sz w:val="28"/>
          <w:szCs w:val="28"/>
        </w:rPr>
      </w:pPr>
      <w:r w:rsidRPr="00142B4F">
        <w:rPr>
          <w:rFonts w:ascii="Verdana" w:hAnsi="Verdana"/>
          <w:sz w:val="28"/>
          <w:szCs w:val="28"/>
        </w:rPr>
        <w:t xml:space="preserve">ECONOMIA MONETARIA </w:t>
      </w:r>
    </w:p>
    <w:p w:rsidR="00FB331F" w:rsidRDefault="002711F2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ANNO ACCADEMICO 2018/2019</w:t>
      </w:r>
      <w:r w:rsidR="0003110E">
        <w:rPr>
          <w:rFonts w:ascii="Verdana" w:hAnsi="Verdana"/>
          <w:b w:val="0"/>
          <w:sz w:val="28"/>
          <w:szCs w:val="28"/>
        </w:rPr>
        <w:t xml:space="preserve"> – Secondo semestre</w:t>
      </w:r>
    </w:p>
    <w:p w:rsidR="005C19B1" w:rsidRPr="0082069B" w:rsidRDefault="002C0E7E" w:rsidP="00BF4EF6">
      <w:pPr>
        <w:pStyle w:val="Titolo"/>
        <w:rPr>
          <w:rFonts w:ascii="Verdana" w:hAnsi="Verdana"/>
          <w:sz w:val="28"/>
          <w:szCs w:val="28"/>
        </w:rPr>
      </w:pPr>
      <w:r w:rsidRPr="002C0E7E">
        <w:rPr>
          <w:rFonts w:ascii="Verdana" w:hAnsi="Verdana"/>
          <w:b w:val="0"/>
          <w:sz w:val="28"/>
          <w:szCs w:val="28"/>
        </w:rPr>
        <w:t>(6 CFU – 4</w:t>
      </w:r>
      <w:r w:rsidR="000D11F1">
        <w:rPr>
          <w:rFonts w:ascii="Verdana" w:hAnsi="Verdana"/>
          <w:b w:val="0"/>
          <w:sz w:val="28"/>
          <w:szCs w:val="28"/>
        </w:rPr>
        <w:t>2</w:t>
      </w:r>
      <w:r w:rsidRPr="002C0E7E">
        <w:rPr>
          <w:rFonts w:ascii="Verdana" w:hAnsi="Verdana"/>
          <w:b w:val="0"/>
          <w:sz w:val="28"/>
          <w:szCs w:val="28"/>
        </w:rPr>
        <w:t xml:space="preserve"> ore oppure 9 CFU – 6</w:t>
      </w:r>
      <w:r w:rsidR="000D11F1">
        <w:rPr>
          <w:rFonts w:ascii="Verdana" w:hAnsi="Verdana"/>
          <w:b w:val="0"/>
          <w:sz w:val="28"/>
          <w:szCs w:val="28"/>
        </w:rPr>
        <w:t>3</w:t>
      </w:r>
      <w:r w:rsidRPr="002C0E7E">
        <w:rPr>
          <w:rFonts w:ascii="Verdana" w:hAnsi="Verdana"/>
          <w:b w:val="0"/>
          <w:sz w:val="28"/>
          <w:szCs w:val="28"/>
        </w:rPr>
        <w:t xml:space="preserve"> ore – Laurea Magistrale LM-77)</w:t>
      </w:r>
      <w:r w:rsidR="000D11F1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2659FC" w:rsidRDefault="002659FC" w:rsidP="002659FC">
      <w:pPr>
        <w:jc w:val="center"/>
        <w:rPr>
          <w:rFonts w:ascii="Verdana" w:hAnsi="Verdana"/>
          <w:sz w:val="28"/>
          <w:szCs w:val="28"/>
        </w:rPr>
      </w:pPr>
    </w:p>
    <w:p w:rsidR="005C19B1" w:rsidRDefault="00C7281F" w:rsidP="002659F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Giallonardo Luisa</w:t>
      </w:r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7EA2" w:rsidRPr="005E395A" w:rsidRDefault="005C19B1" w:rsidP="002711F2">
      <w:pPr>
        <w:jc w:val="both"/>
        <w:rPr>
          <w:rFonts w:ascii="Verdana" w:hAnsi="Verdana"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22080D">
        <w:rPr>
          <w:rFonts w:ascii="Verdana" w:hAnsi="Verdana"/>
          <w:b/>
          <w:bCs/>
          <w:sz w:val="20"/>
          <w:szCs w:val="20"/>
        </w:rPr>
        <w:t xml:space="preserve"> </w:t>
      </w:r>
      <w:r w:rsidR="00177EA2" w:rsidRPr="005E395A">
        <w:rPr>
          <w:rFonts w:ascii="Verdana" w:hAnsi="Verdana"/>
          <w:bCs/>
          <w:sz w:val="20"/>
          <w:szCs w:val="20"/>
        </w:rPr>
        <w:t>L’obiettivo del corso è quello di fornire le conoscenze di base de</w:t>
      </w:r>
      <w:r w:rsidR="002711F2">
        <w:rPr>
          <w:rFonts w:ascii="Verdana" w:hAnsi="Verdana"/>
          <w:bCs/>
          <w:sz w:val="20"/>
          <w:szCs w:val="20"/>
        </w:rPr>
        <w:t xml:space="preserve">i fenomeni monetari, a partire </w:t>
      </w:r>
      <w:r w:rsidR="00177EA2" w:rsidRPr="005E395A">
        <w:rPr>
          <w:rFonts w:ascii="Verdana" w:hAnsi="Verdana"/>
          <w:bCs/>
          <w:sz w:val="20"/>
          <w:szCs w:val="20"/>
        </w:rPr>
        <w:t>dal funzionamento del mercato della moneta. A tal fine si analizza il comportamento delle Banche Centrali, individuandone obiettivi e strategie, studiando gli effetti della politica monetaria adottata sul mercato bancario e finanziario. Verranno a tal fine considerate le diverse teorie che nella storia del pensiero economico si sono susseguite, con particolare attenzione alle più recenti, che caratterizzano le moderne econom</w:t>
      </w:r>
      <w:r w:rsidR="002711F2">
        <w:rPr>
          <w:rFonts w:ascii="Verdana" w:hAnsi="Verdana"/>
          <w:bCs/>
          <w:sz w:val="20"/>
          <w:szCs w:val="20"/>
        </w:rPr>
        <w:t xml:space="preserve">ie. Il riferimento al contesto </w:t>
      </w:r>
      <w:r w:rsidR="00177EA2" w:rsidRPr="005E395A">
        <w:rPr>
          <w:rFonts w:ascii="Verdana" w:hAnsi="Verdana"/>
          <w:bCs/>
          <w:sz w:val="20"/>
          <w:szCs w:val="20"/>
        </w:rPr>
        <w:t xml:space="preserve">europeo sarà costante e rilevante, con particolare riguardo al ruolo della Banca Centrale </w:t>
      </w:r>
    </w:p>
    <w:p w:rsidR="00177EA2" w:rsidRPr="005E395A" w:rsidRDefault="00177EA2" w:rsidP="002711F2">
      <w:pPr>
        <w:jc w:val="both"/>
        <w:rPr>
          <w:rFonts w:ascii="Verdana" w:hAnsi="Verdana"/>
          <w:bCs/>
          <w:sz w:val="20"/>
          <w:szCs w:val="20"/>
        </w:rPr>
      </w:pPr>
      <w:r w:rsidRPr="005E395A">
        <w:rPr>
          <w:rFonts w:ascii="Verdana" w:hAnsi="Verdana"/>
          <w:bCs/>
          <w:sz w:val="20"/>
          <w:szCs w:val="20"/>
        </w:rPr>
        <w:t xml:space="preserve">Europea ed alle vicende relative alla crisi economica ancora in atto. </w:t>
      </w:r>
    </w:p>
    <w:p w:rsidR="00177EA2" w:rsidRPr="005E395A" w:rsidRDefault="00177EA2" w:rsidP="002711F2">
      <w:pPr>
        <w:jc w:val="both"/>
        <w:rPr>
          <w:rFonts w:ascii="Verdana" w:hAnsi="Verdana"/>
          <w:bCs/>
          <w:sz w:val="20"/>
          <w:szCs w:val="20"/>
        </w:rPr>
      </w:pPr>
      <w:r w:rsidRPr="005E395A">
        <w:rPr>
          <w:rFonts w:ascii="Verdana" w:hAnsi="Verdana"/>
          <w:bCs/>
          <w:sz w:val="20"/>
          <w:szCs w:val="20"/>
        </w:rPr>
        <w:t>Ogni argomento del programma verrà trattato con riferiment</w:t>
      </w:r>
      <w:r w:rsidR="002711F2">
        <w:rPr>
          <w:rFonts w:ascii="Verdana" w:hAnsi="Verdana"/>
          <w:bCs/>
          <w:sz w:val="20"/>
          <w:szCs w:val="20"/>
        </w:rPr>
        <w:t xml:space="preserve">o al dibattito odierno ed agli </w:t>
      </w:r>
      <w:r w:rsidRPr="005E395A">
        <w:rPr>
          <w:rFonts w:ascii="Verdana" w:hAnsi="Verdana"/>
          <w:bCs/>
          <w:sz w:val="20"/>
          <w:szCs w:val="20"/>
        </w:rPr>
        <w:t xml:space="preserve">eventi economici in corso in ambito europeo e mondiale. </w:t>
      </w:r>
    </w:p>
    <w:p w:rsidR="00834365" w:rsidRPr="005E395A" w:rsidRDefault="00177EA2" w:rsidP="002711F2">
      <w:pPr>
        <w:jc w:val="both"/>
        <w:rPr>
          <w:rFonts w:ascii="Verdana" w:hAnsi="Verdana"/>
          <w:sz w:val="20"/>
          <w:szCs w:val="20"/>
        </w:rPr>
      </w:pPr>
      <w:r w:rsidRPr="005E395A">
        <w:rPr>
          <w:rFonts w:ascii="Verdana" w:hAnsi="Verdana"/>
          <w:bCs/>
          <w:sz w:val="20"/>
          <w:szCs w:val="20"/>
        </w:rPr>
        <w:t>I risultati di apprendimento previsti sono la dimestiche</w:t>
      </w:r>
      <w:r w:rsidR="002711F2">
        <w:rPr>
          <w:rFonts w:ascii="Verdana" w:hAnsi="Verdana"/>
          <w:bCs/>
          <w:sz w:val="20"/>
          <w:szCs w:val="20"/>
        </w:rPr>
        <w:t xml:space="preserve">zza con i modelli economici di  </w:t>
      </w:r>
      <w:r w:rsidRPr="005E395A">
        <w:rPr>
          <w:rFonts w:ascii="Verdana" w:hAnsi="Verdana"/>
          <w:bCs/>
          <w:sz w:val="20"/>
          <w:szCs w:val="20"/>
        </w:rPr>
        <w:t xml:space="preserve">funzionamento dei mercati della moneta, del credito e dei titoli </w:t>
      </w:r>
      <w:r w:rsidR="002711F2">
        <w:rPr>
          <w:rFonts w:ascii="Verdana" w:hAnsi="Verdana"/>
          <w:bCs/>
          <w:sz w:val="20"/>
          <w:szCs w:val="20"/>
        </w:rPr>
        <w:t xml:space="preserve">e quelli di trasmissione della  </w:t>
      </w:r>
      <w:r w:rsidRPr="005E395A">
        <w:rPr>
          <w:rFonts w:ascii="Verdana" w:hAnsi="Verdana"/>
          <w:bCs/>
          <w:sz w:val="20"/>
          <w:szCs w:val="20"/>
        </w:rPr>
        <w:t>politica monetaria. Centrale è anche la comprensione degli</w:t>
      </w:r>
      <w:r w:rsidR="002711F2">
        <w:rPr>
          <w:rFonts w:ascii="Verdana" w:hAnsi="Verdana"/>
          <w:bCs/>
          <w:sz w:val="20"/>
          <w:szCs w:val="20"/>
        </w:rPr>
        <w:t xml:space="preserve"> schemi di comportamento delle </w:t>
      </w:r>
      <w:r w:rsidRPr="005E395A">
        <w:rPr>
          <w:rFonts w:ascii="Verdana" w:hAnsi="Verdana"/>
          <w:bCs/>
          <w:sz w:val="20"/>
          <w:szCs w:val="20"/>
        </w:rPr>
        <w:t>banche centrali in economia chiusa ed aperta.</w:t>
      </w:r>
    </w:p>
    <w:p w:rsidR="005C19B1" w:rsidRPr="005E395A" w:rsidRDefault="005C19B1" w:rsidP="00EA659B">
      <w:pPr>
        <w:pStyle w:val="Corpotesto"/>
        <w:rPr>
          <w:rFonts w:ascii="Verdana" w:hAnsi="Verdana"/>
          <w:bCs/>
          <w:sz w:val="20"/>
          <w:szCs w:val="20"/>
        </w:rPr>
      </w:pPr>
    </w:p>
    <w:p w:rsidR="00F25FC2" w:rsidRDefault="00834365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2711F2" w:rsidRDefault="002711F2" w:rsidP="002711F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2711F2">
        <w:rPr>
          <w:i/>
        </w:rPr>
        <w:t xml:space="preserve">Ruolo e origine della moneta. Come nasce una moneta. </w:t>
      </w:r>
    </w:p>
    <w:p w:rsidR="002711F2" w:rsidRPr="002711F2" w:rsidRDefault="002711F2" w:rsidP="002711F2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11F2">
        <w:rPr>
          <w:rFonts w:ascii="-webkit-standard" w:hAnsi="-webkit-standard"/>
          <w:i/>
          <w:iCs/>
          <w:color w:val="000000"/>
          <w:sz w:val="24"/>
          <w:szCs w:val="24"/>
        </w:rPr>
        <w:t>Le attività e i mercati finanziari. La crisi finanziaria mondiale del 2007-2008.</w:t>
      </w:r>
    </w:p>
    <w:p w:rsidR="002711F2" w:rsidRPr="002711F2" w:rsidRDefault="002711F2" w:rsidP="002711F2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711F2">
        <w:rPr>
          <w:rFonts w:ascii="-webkit-standard" w:hAnsi="-webkit-standard"/>
          <w:i/>
          <w:iCs/>
          <w:color w:val="000000"/>
          <w:sz w:val="24"/>
          <w:szCs w:val="24"/>
        </w:rPr>
        <w:t>Gli intermediari finanziari. La crisi delle grandi banche. La crisi delle banche in Italia.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 xml:space="preserve">La domanda di moneta e di attività finanziarie. 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 xml:space="preserve">L’offerta di moneta. 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>La trasmissione della politica monetaria</w:t>
      </w:r>
      <w:r w:rsidRPr="002711F2">
        <w:rPr>
          <w:iCs/>
        </w:rPr>
        <w:t xml:space="preserve">. </w:t>
      </w:r>
      <w:r w:rsidRPr="002711F2">
        <w:rPr>
          <w:i/>
        </w:rPr>
        <w:t>I modelli basati sul tasso d’interesse. L’inefficacia della politica monetaria come risposta alla crisi del 2007-2008.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>Moneta, prezzi e livello dell’output. L’inflazione. La deflazione.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>Gli obiettivi finali della politica monetaria. L’evoluzione degli obiettivi di politica monetaria della BCE.</w:t>
      </w:r>
    </w:p>
    <w:p w:rsidR="005F5872" w:rsidRDefault="002711F2" w:rsidP="002711F2">
      <w:pPr>
        <w:pStyle w:val="Rientrocorpodeltesto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711F2">
        <w:rPr>
          <w:i/>
        </w:rPr>
        <w:t xml:space="preserve">La conduzione della politica monetaria tra regole e discrezionalità. </w:t>
      </w:r>
    </w:p>
    <w:p w:rsidR="002711F2" w:rsidRPr="002711F2" w:rsidRDefault="005F5872" w:rsidP="002711F2">
      <w:pPr>
        <w:pStyle w:val="Rientrocorpodeltesto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Il ruolo delle banche centrali. </w:t>
      </w:r>
      <w:r w:rsidR="002711F2" w:rsidRPr="002711F2">
        <w:rPr>
          <w:i/>
        </w:rPr>
        <w:t>Le politiche non convenzionali della BCE. Il ruolo delle banche centrali. La BCE: la sua nascita, la sua evoluzione, le critiche.</w:t>
      </w:r>
      <w:r w:rsidR="002711F2" w:rsidRPr="002711F2">
        <w:rPr>
          <w:rFonts w:ascii="-webkit-standard" w:hAnsi="-webkit-standard"/>
          <w:i/>
          <w:color w:val="000000"/>
        </w:rPr>
        <w:t xml:space="preserve"> La politica monetaria della BCE e la sua evoluzione.</w:t>
      </w:r>
    </w:p>
    <w:p w:rsidR="002711F2" w:rsidRP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>La determinazione dei tassi di cambio</w:t>
      </w:r>
    </w:p>
    <w:p w:rsidR="002711F2" w:rsidRDefault="002711F2" w:rsidP="002711F2">
      <w:pPr>
        <w:numPr>
          <w:ilvl w:val="0"/>
          <w:numId w:val="9"/>
        </w:numPr>
        <w:jc w:val="both"/>
        <w:rPr>
          <w:i/>
        </w:rPr>
      </w:pPr>
      <w:r w:rsidRPr="002711F2">
        <w:rPr>
          <w:i/>
        </w:rPr>
        <w:t>Trasmissione e conduzione della politica monetaria in economia aperta.</w:t>
      </w:r>
    </w:p>
    <w:p w:rsidR="002711F2" w:rsidRPr="002711F2" w:rsidRDefault="002711F2" w:rsidP="002711F2">
      <w:pPr>
        <w:jc w:val="both"/>
        <w:rPr>
          <w:i/>
        </w:rPr>
      </w:pPr>
    </w:p>
    <w:p w:rsidR="002711F2" w:rsidRPr="002711F2" w:rsidRDefault="002711F2" w:rsidP="002711F2">
      <w:pPr>
        <w:pStyle w:val="Corpotesto"/>
        <w:ind w:left="1440"/>
        <w:rPr>
          <w:b/>
          <w:bCs/>
        </w:rPr>
      </w:pPr>
      <w:r w:rsidRPr="002711F2">
        <w:rPr>
          <w:b/>
          <w:bCs/>
        </w:rPr>
        <w:t>Il programma del corso da 6 cr</w:t>
      </w:r>
      <w:r w:rsidR="005F5872">
        <w:rPr>
          <w:b/>
          <w:bCs/>
        </w:rPr>
        <w:t>editi non prevede gli ultimi tre</w:t>
      </w:r>
      <w:r w:rsidRPr="002711F2">
        <w:rPr>
          <w:b/>
          <w:bCs/>
        </w:rPr>
        <w:t xml:space="preserve"> argomenti.</w:t>
      </w:r>
    </w:p>
    <w:p w:rsidR="002711F2" w:rsidRDefault="002711F2" w:rsidP="002711F2">
      <w:pPr>
        <w:ind w:left="1416"/>
        <w:rPr>
          <w:sz w:val="28"/>
          <w:szCs w:val="28"/>
          <w:u w:val="single"/>
        </w:rPr>
      </w:pPr>
    </w:p>
    <w:p w:rsidR="002711F2" w:rsidRPr="002659FC" w:rsidRDefault="002711F2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F25FC2" w:rsidRPr="0082069B" w:rsidRDefault="00F25FC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</w:p>
    <w:p w:rsidR="005C19B1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F5872" w:rsidRDefault="005F587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F5872" w:rsidRPr="0082069B" w:rsidRDefault="005F587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F5872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lastRenderedPageBreak/>
        <w:t>TESTI:</w:t>
      </w:r>
    </w:p>
    <w:p w:rsidR="005251A2" w:rsidRPr="005251A2" w:rsidRDefault="005251A2" w:rsidP="005251A2">
      <w:pPr>
        <w:ind w:left="1416"/>
        <w:jc w:val="both"/>
        <w:rPr>
          <w:i/>
        </w:rPr>
      </w:pPr>
      <w:r w:rsidRPr="005251A2">
        <w:rPr>
          <w:i/>
        </w:rPr>
        <w:t>Pittaluga G.B. – “Economia monetaria” – HOEPLI, quarta edizione, 2012.</w:t>
      </w:r>
    </w:p>
    <w:p w:rsidR="005251A2" w:rsidRPr="005251A2" w:rsidRDefault="005251A2" w:rsidP="005251A2">
      <w:pPr>
        <w:ind w:left="1416"/>
        <w:jc w:val="both"/>
      </w:pPr>
      <w:r w:rsidRPr="005251A2">
        <w:rPr>
          <w:i/>
        </w:rPr>
        <w:t xml:space="preserve">De Grauwe P. – “Economia dell’unione monetaria” – </w:t>
      </w:r>
      <w:r w:rsidRPr="005251A2">
        <w:t>Il Mulino, Decima edizione, 2016.</w:t>
      </w:r>
    </w:p>
    <w:p w:rsidR="005251A2" w:rsidRPr="005251A2" w:rsidRDefault="005251A2" w:rsidP="005251A2">
      <w:pPr>
        <w:ind w:left="1416"/>
        <w:jc w:val="both"/>
      </w:pPr>
      <w:r w:rsidRPr="005251A2">
        <w:rPr>
          <w:i/>
        </w:rPr>
        <w:t>De Grauwe P. – “Economics of Monet</w:t>
      </w:r>
      <w:bookmarkStart w:id="0" w:name="_GoBack"/>
      <w:bookmarkEnd w:id="0"/>
      <w:r w:rsidRPr="005251A2">
        <w:rPr>
          <w:i/>
        </w:rPr>
        <w:t>ary Union” – Oxford University Press, 12th Edition, 2018.</w:t>
      </w:r>
    </w:p>
    <w:p w:rsidR="005251A2" w:rsidRPr="005251A2" w:rsidRDefault="005251A2" w:rsidP="005251A2">
      <w:pPr>
        <w:ind w:left="1416"/>
        <w:jc w:val="both"/>
      </w:pPr>
      <w:r w:rsidRPr="005251A2">
        <w:rPr>
          <w:i/>
        </w:rPr>
        <w:t>Di Giorgio G.</w:t>
      </w:r>
      <w:r w:rsidRPr="005251A2">
        <w:t xml:space="preserve"> – </w:t>
      </w:r>
      <w:r w:rsidRPr="005251A2">
        <w:rPr>
          <w:i/>
        </w:rPr>
        <w:t xml:space="preserve">“Economia e politica monetaria” – </w:t>
      </w:r>
      <w:r w:rsidRPr="005251A2">
        <w:t>CEDAM, Quinta edizione, 2016.</w:t>
      </w:r>
    </w:p>
    <w:p w:rsidR="005251A2" w:rsidRPr="005251A2" w:rsidRDefault="005251A2" w:rsidP="005251A2">
      <w:pPr>
        <w:ind w:left="1416"/>
        <w:jc w:val="both"/>
      </w:pPr>
      <w:r w:rsidRPr="005251A2">
        <w:rPr>
          <w:i/>
        </w:rPr>
        <w:t>Mishkin, F.</w:t>
      </w:r>
      <w:r w:rsidRPr="005251A2">
        <w:t xml:space="preserve"> – “The Economics of Money, Banking and Financial Markets, Global Edition (English Edition), Columbia University Press, 11th Edition.</w:t>
      </w:r>
    </w:p>
    <w:p w:rsidR="005251A2" w:rsidRPr="003B55DC" w:rsidRDefault="005251A2" w:rsidP="005251A2">
      <w:pPr>
        <w:ind w:left="1416"/>
        <w:jc w:val="both"/>
        <w:rPr>
          <w:sz w:val="28"/>
          <w:szCs w:val="28"/>
        </w:rPr>
      </w:pP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5251A2" w:rsidRDefault="005C19B1" w:rsidP="00543381">
      <w:pPr>
        <w:jc w:val="both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</w:p>
    <w:p w:rsidR="005251A2" w:rsidRDefault="005251A2" w:rsidP="005433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F5872" w:rsidP="00543381">
      <w:pPr>
        <w:jc w:val="both"/>
        <w:rPr>
          <w:rFonts w:ascii="Verdana" w:hAnsi="Verdana"/>
          <w:sz w:val="20"/>
          <w:szCs w:val="20"/>
        </w:rPr>
      </w:pPr>
      <w:r w:rsidRPr="005F5872">
        <w:rPr>
          <w:rFonts w:ascii="Verdana" w:hAnsi="Verdana"/>
          <w:bCs/>
          <w:sz w:val="20"/>
          <w:szCs w:val="20"/>
        </w:rPr>
        <w:t>lezioni frontali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543381" w:rsidRPr="0082069B">
        <w:rPr>
          <w:rFonts w:ascii="Verdana" w:hAnsi="Verdana"/>
          <w:sz w:val="20"/>
          <w:szCs w:val="20"/>
        </w:rPr>
        <w:t xml:space="preserve"> </w:t>
      </w: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5F5872" w:rsidRDefault="005C19B1" w:rsidP="005F587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F5872" w:rsidRPr="005F5872">
        <w:rPr>
          <w:rFonts w:ascii="Verdana" w:hAnsi="Verdana" w:cs="Verdana"/>
          <w:sz w:val="20"/>
          <w:szCs w:val="20"/>
        </w:rPr>
        <w:t xml:space="preserve"> </w:t>
      </w:r>
    </w:p>
    <w:p w:rsidR="005F5872" w:rsidRDefault="005F5872" w:rsidP="005F587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prova d’esame consiste in una prova orale divisa in due parti. </w:t>
      </w:r>
    </w:p>
    <w:p w:rsidR="005F5872" w:rsidRDefault="005F5872" w:rsidP="005F587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Nella prima parte lo studente deve dimostrare la capacità di impostare, rappresentare e spiegare un modello economico tra quelli illustrati a lezione, scelto da una lista disponibile nella pagina web del corso.</w:t>
      </w:r>
    </w:p>
    <w:p w:rsidR="005F5872" w:rsidRDefault="005F5872" w:rsidP="005F587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seconda parte ha come obiettivo quello di verificare la conoscenza degli argomenti oggetto di studio tramite due o più domande sul programma. </w:t>
      </w:r>
    </w:p>
    <w:p w:rsidR="005F5872" w:rsidRDefault="005F5872" w:rsidP="005F587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voto finale sarà pari alla media aritmetica dei voti della prima e della seconda parte.</w:t>
      </w:r>
    </w:p>
    <w:p w:rsidR="005F5872" w:rsidRDefault="005F5872" w:rsidP="005F5872">
      <w:pPr>
        <w:rPr>
          <w:sz w:val="32"/>
          <w:szCs w:val="32"/>
        </w:rPr>
      </w:pP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2659FC" w:rsidRDefault="005C19B1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="00AB3633"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2659FC" w:rsidRDefault="00E72E6B" w:rsidP="00EA659B">
      <w:pPr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="00A776A2" w:rsidRPr="00791A23">
          <w:rPr>
            <w:rStyle w:val="Collegamentoipertestuale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</w:t>
      </w:r>
      <w:r w:rsidR="002659FC">
        <w:rPr>
          <w:rFonts w:ascii="Verdana" w:hAnsi="Verdana"/>
          <w:sz w:val="20"/>
          <w:szCs w:val="20"/>
        </w:rPr>
        <w:t xml:space="preserve"> </w:t>
      </w:r>
      <w:r w:rsidR="002659FC" w:rsidRPr="00A776A2">
        <w:rPr>
          <w:rFonts w:ascii="Verdana" w:hAnsi="Verdana"/>
          <w:sz w:val="20"/>
          <w:szCs w:val="20"/>
          <w:highlight w:val="yellow"/>
        </w:rPr>
        <w:t>(inserire il lin</w:t>
      </w:r>
      <w:r w:rsidR="00A776A2" w:rsidRPr="00A776A2">
        <w:rPr>
          <w:rFonts w:ascii="Verdana" w:hAnsi="Verdana"/>
          <w:sz w:val="20"/>
          <w:szCs w:val="20"/>
          <w:highlight w:val="yellow"/>
        </w:rPr>
        <w:t>k della pagina del docente)</w:t>
      </w:r>
      <w:r w:rsidRPr="0082069B">
        <w:rPr>
          <w:rFonts w:ascii="Verdana" w:hAnsi="Verdana"/>
          <w:sz w:val="20"/>
          <w:szCs w:val="20"/>
        </w:rPr>
        <w:t>:</w:t>
      </w:r>
    </w:p>
    <w:p w:rsidR="001315D1" w:rsidRDefault="00E72E6B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9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E72E6B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6B" w:rsidRDefault="00E72E6B">
      <w:r>
        <w:separator/>
      </w:r>
    </w:p>
  </w:endnote>
  <w:endnote w:type="continuationSeparator" w:id="0">
    <w:p w:rsidR="00E72E6B" w:rsidRDefault="00E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6B" w:rsidRDefault="00E72E6B">
      <w:r>
        <w:separator/>
      </w:r>
    </w:p>
  </w:footnote>
  <w:footnote w:type="continuationSeparator" w:id="0">
    <w:p w:rsidR="00E72E6B" w:rsidRDefault="00E7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B87798"/>
    <w:multiLevelType w:val="hybridMultilevel"/>
    <w:tmpl w:val="1B7A7E02"/>
    <w:lvl w:ilvl="0" w:tplc="E69205E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30416"/>
    <w:rsid w:val="0003110E"/>
    <w:rsid w:val="00071032"/>
    <w:rsid w:val="000711DF"/>
    <w:rsid w:val="00073401"/>
    <w:rsid w:val="000D0B0A"/>
    <w:rsid w:val="000D11F1"/>
    <w:rsid w:val="000E296A"/>
    <w:rsid w:val="00105397"/>
    <w:rsid w:val="001315D1"/>
    <w:rsid w:val="00142B4F"/>
    <w:rsid w:val="001521BD"/>
    <w:rsid w:val="00170B7E"/>
    <w:rsid w:val="00177EA2"/>
    <w:rsid w:val="001B266B"/>
    <w:rsid w:val="001E1998"/>
    <w:rsid w:val="00202441"/>
    <w:rsid w:val="0022080D"/>
    <w:rsid w:val="00236953"/>
    <w:rsid w:val="00256B4C"/>
    <w:rsid w:val="002648E3"/>
    <w:rsid w:val="002659FC"/>
    <w:rsid w:val="002711F2"/>
    <w:rsid w:val="00284EB2"/>
    <w:rsid w:val="002861B3"/>
    <w:rsid w:val="002B77DE"/>
    <w:rsid w:val="002C0E7E"/>
    <w:rsid w:val="002C1C43"/>
    <w:rsid w:val="002D19C1"/>
    <w:rsid w:val="002E1EBB"/>
    <w:rsid w:val="002E3C33"/>
    <w:rsid w:val="002E55EF"/>
    <w:rsid w:val="00347D62"/>
    <w:rsid w:val="00376A88"/>
    <w:rsid w:val="003D263B"/>
    <w:rsid w:val="003D2A24"/>
    <w:rsid w:val="004162AA"/>
    <w:rsid w:val="004200C4"/>
    <w:rsid w:val="004321D2"/>
    <w:rsid w:val="0046386F"/>
    <w:rsid w:val="004811F1"/>
    <w:rsid w:val="004977FD"/>
    <w:rsid w:val="004B5F4B"/>
    <w:rsid w:val="00501438"/>
    <w:rsid w:val="005251A2"/>
    <w:rsid w:val="00536E5C"/>
    <w:rsid w:val="00537A3D"/>
    <w:rsid w:val="00543381"/>
    <w:rsid w:val="00592348"/>
    <w:rsid w:val="005959D8"/>
    <w:rsid w:val="005C19B1"/>
    <w:rsid w:val="005D51A9"/>
    <w:rsid w:val="005E395A"/>
    <w:rsid w:val="005F5872"/>
    <w:rsid w:val="0061228A"/>
    <w:rsid w:val="006519F5"/>
    <w:rsid w:val="006656B6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26BDE"/>
    <w:rsid w:val="00937A88"/>
    <w:rsid w:val="0097307D"/>
    <w:rsid w:val="00985F78"/>
    <w:rsid w:val="009B4660"/>
    <w:rsid w:val="009C6161"/>
    <w:rsid w:val="009D2CC8"/>
    <w:rsid w:val="009E6593"/>
    <w:rsid w:val="00A06597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AE0F11"/>
    <w:rsid w:val="00B3555C"/>
    <w:rsid w:val="00B47130"/>
    <w:rsid w:val="00B95830"/>
    <w:rsid w:val="00BB7459"/>
    <w:rsid w:val="00BE1B34"/>
    <w:rsid w:val="00BF4EF6"/>
    <w:rsid w:val="00C103BB"/>
    <w:rsid w:val="00C10CE7"/>
    <w:rsid w:val="00C233B7"/>
    <w:rsid w:val="00C318C4"/>
    <w:rsid w:val="00C60B6A"/>
    <w:rsid w:val="00C63698"/>
    <w:rsid w:val="00C65CA5"/>
    <w:rsid w:val="00C7281F"/>
    <w:rsid w:val="00C966D6"/>
    <w:rsid w:val="00CE7DBB"/>
    <w:rsid w:val="00CF7A8B"/>
    <w:rsid w:val="00D01150"/>
    <w:rsid w:val="00D1785A"/>
    <w:rsid w:val="00D33558"/>
    <w:rsid w:val="00D81E1F"/>
    <w:rsid w:val="00DB5D26"/>
    <w:rsid w:val="00DE2787"/>
    <w:rsid w:val="00E71E1B"/>
    <w:rsid w:val="00E72E6B"/>
    <w:rsid w:val="00E74E7A"/>
    <w:rsid w:val="00E91678"/>
    <w:rsid w:val="00EA659B"/>
    <w:rsid w:val="00EB5493"/>
    <w:rsid w:val="00EC0737"/>
    <w:rsid w:val="00F22D23"/>
    <w:rsid w:val="00F25FC2"/>
    <w:rsid w:val="00F75240"/>
    <w:rsid w:val="00F811E2"/>
    <w:rsid w:val="00FB331F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BBEE7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11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1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2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Cristian</cp:lastModifiedBy>
  <cp:revision>4</cp:revision>
  <cp:lastPrinted>2012-03-16T10:49:00Z</cp:lastPrinted>
  <dcterms:created xsi:type="dcterms:W3CDTF">2019-02-24T20:37:00Z</dcterms:created>
  <dcterms:modified xsi:type="dcterms:W3CDTF">2019-02-24T21:24:00Z</dcterms:modified>
</cp:coreProperties>
</file>